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0308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0308B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E0308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0308B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E0308B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E0308B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0308B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E0308B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达肝素钠注射液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Dalteparin</w:t>
            </w:r>
            <w:proofErr w:type="spellEnd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Injection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注射液</w:t>
            </w:r>
            <w:r w:rsidR="00AE0A9F"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0.2ml:5000A</w:t>
            </w:r>
            <w:r w:rsidRPr="00E0308B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proofErr w:type="spellStart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aIU</w:t>
            </w:r>
            <w:proofErr w:type="spellEnd"/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齐鲁制药有限公司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山东省济南市高新区新</w:t>
            </w:r>
            <w:proofErr w:type="gramStart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泺</w:t>
            </w:r>
            <w:proofErr w:type="gramEnd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大街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317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齐鲁制药有限公司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569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569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2569B" w:rsidRDefault="00A64BA0" w:rsidP="0002569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569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02569B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02569B" w:rsidRPr="0002569B">
              <w:rPr>
                <w:rFonts w:ascii="Times New Roman" w:eastAsia="宋体" w:hAnsi="Times New Roman" w:cs="Times New Roman"/>
                <w:sz w:val="24"/>
                <w:szCs w:val="24"/>
              </w:rPr>
              <w:t>20030429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  <w:bookmarkStart w:id="0" w:name="_GoBack"/>
            <w:bookmarkEnd w:id="0"/>
          </w:p>
        </w:tc>
        <w:tc>
          <w:tcPr>
            <w:tcW w:w="3130" w:type="pct"/>
            <w:vAlign w:val="center"/>
          </w:tcPr>
          <w:p w:rsidR="00AE0A9F" w:rsidRPr="00E0308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B35DF7" w:rsidRPr="00E0308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35DF7" w:rsidRPr="00E0308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22K0044CC1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齐鲁制药有限公司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35DF7" w:rsidRPr="00E0308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E0308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B202200169-02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济南市中心医院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北京慧智康健医药科技有限公司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0308B" w:rsidRDefault="00B35DF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上海熙华检测</w:t>
            </w:r>
            <w:proofErr w:type="gramEnd"/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技术服务股份有限公司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0308B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空腹、</w:t>
            </w:r>
            <w:r w:rsidR="00B35DF7"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随机、开放、单剂量、两周期、两序列、两交叉生物等效性研究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0308B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B35DF7"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anti-</w:t>
            </w:r>
            <w:proofErr w:type="spellStart"/>
            <w:r w:rsidR="00B35DF7"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proofErr w:type="spellEnd"/>
            <w:r w:rsidR="00B35DF7"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活性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0308B" w:rsidRDefault="00E0308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发色底物法</w:t>
            </w:r>
          </w:p>
        </w:tc>
      </w:tr>
      <w:tr w:rsidR="00B35DF7" w:rsidRPr="00E0308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308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E0308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08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E0308B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308B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E0308B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0308B">
        <w:rPr>
          <w:rFonts w:ascii="Times New Roman" w:eastAsia="宋体" w:hAnsi="Times New Roman" w:cs="Times New Roman"/>
          <w:sz w:val="24"/>
          <w:szCs w:val="24"/>
        </w:rPr>
        <w:t>（</w:t>
      </w:r>
      <w:r w:rsidR="00E0308B" w:rsidRPr="00E0308B">
        <w:rPr>
          <w:rFonts w:ascii="Times New Roman" w:eastAsia="宋体" w:hAnsi="Times New Roman" w:cs="Times New Roman"/>
          <w:sz w:val="24"/>
          <w:szCs w:val="24"/>
        </w:rPr>
        <w:t>0.2mL: 5000IU</w:t>
      </w:r>
      <w:r w:rsidRPr="00E0308B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E0308B" w:rsidRPr="00E0308B">
        <w:rPr>
          <w:rFonts w:ascii="Times New Roman" w:eastAsia="宋体" w:hAnsi="Times New Roman" w:cs="Times New Roman"/>
          <w:sz w:val="24"/>
          <w:szCs w:val="24"/>
        </w:rPr>
        <w:t>anti-</w:t>
      </w:r>
      <w:proofErr w:type="spellStart"/>
      <w:r w:rsidR="00E0308B" w:rsidRPr="00E0308B">
        <w:rPr>
          <w:rFonts w:ascii="Times New Roman" w:eastAsia="宋体" w:hAnsi="Times New Roman" w:cs="Times New Roman"/>
          <w:sz w:val="24"/>
          <w:szCs w:val="24"/>
        </w:rPr>
        <w:t>Xa</w:t>
      </w:r>
      <w:proofErr w:type="spellEnd"/>
      <w:r w:rsidR="00E0308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0308B" w:rsidRPr="00E0308B">
        <w:rPr>
          <w:rFonts w:ascii="Times New Roman" w:eastAsia="宋体" w:hAnsi="Times New Roman" w:cs="Times New Roman"/>
          <w:sz w:val="24"/>
          <w:szCs w:val="24"/>
        </w:rPr>
        <w:t>Anti-</w:t>
      </w:r>
      <w:proofErr w:type="spellStart"/>
      <w:r w:rsidR="00E0308B" w:rsidRPr="00E0308B">
        <w:rPr>
          <w:rFonts w:ascii="Times New Roman" w:eastAsia="宋体" w:hAnsi="Times New Roman" w:cs="Times New Roman"/>
          <w:sz w:val="24"/>
          <w:szCs w:val="24"/>
        </w:rPr>
        <w:t>IIa</w:t>
      </w:r>
      <w:proofErr w:type="spellEnd"/>
      <w:r w:rsidR="00E0308B" w:rsidRPr="00E0308B">
        <w:rPr>
          <w:rFonts w:ascii="Times New Roman" w:eastAsia="宋体" w:hAnsi="Times New Roman" w:cs="Times New Roman"/>
          <w:sz w:val="24"/>
          <w:szCs w:val="24"/>
        </w:rPr>
        <w:t>活性</w:t>
      </w:r>
      <w:r w:rsidRPr="00E0308B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0308B" w:rsidRPr="00E0308B" w:rsidTr="00E0308B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0308B" w:rsidRDefault="001E5C0D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0308B" w:rsidRPr="00E0308B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vAlign w:val="center"/>
            <w:hideMark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参数</w:t>
            </w:r>
            <w:r w:rsidR="00E0308B" w:rsidRPr="00E0308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E0308B" w:rsidRPr="00E0308B">
              <w:rPr>
                <w:rFonts w:ascii="Times New Roman" w:eastAsia="宋体" w:hAnsi="Times New Roman" w:cs="Times New Roman"/>
                <w:szCs w:val="21"/>
              </w:rPr>
              <w:t>anti-</w:t>
            </w:r>
            <w:proofErr w:type="spellStart"/>
            <w:r w:rsidR="00E0308B" w:rsidRPr="00E0308B">
              <w:rPr>
                <w:rFonts w:ascii="Times New Roman" w:eastAsia="宋体" w:hAnsi="Times New Roman" w:cs="Times New Roman"/>
                <w:szCs w:val="21"/>
              </w:rPr>
              <w:t>Xa</w:t>
            </w:r>
            <w:proofErr w:type="spellEnd"/>
            <w:r w:rsidR="00E0308B" w:rsidRPr="00E0308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137" w:type="pct"/>
            <w:gridSpan w:val="3"/>
            <w:vAlign w:val="center"/>
            <w:hideMark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vAlign w:val="center"/>
            <w:hideMark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0308B" w:rsidRPr="00E0308B" w:rsidTr="00E0308B">
        <w:trPr>
          <w:cantSplit/>
          <w:jc w:val="center"/>
        </w:trPr>
        <w:tc>
          <w:tcPr>
            <w:tcW w:w="644" w:type="pct"/>
            <w:vMerge/>
          </w:tcPr>
          <w:p w:rsidR="001E5C0D" w:rsidRPr="00E0308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vAlign w:val="center"/>
            <w:hideMark/>
          </w:tcPr>
          <w:p w:rsidR="001E5C0D" w:rsidRPr="00E0308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vAlign w:val="center"/>
            <w:hideMark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vAlign w:val="center"/>
            <w:hideMark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vAlign w:val="center"/>
            <w:hideMark/>
          </w:tcPr>
          <w:p w:rsidR="001E5C0D" w:rsidRPr="00E0308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vAlign w:val="center"/>
            <w:hideMark/>
          </w:tcPr>
          <w:p w:rsidR="001E5C0D" w:rsidRPr="00E0308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308B" w:rsidRPr="00E0308B" w:rsidTr="00E0308B">
        <w:trPr>
          <w:cantSplit/>
          <w:trHeight w:val="20"/>
          <w:jc w:val="center"/>
        </w:trPr>
        <w:tc>
          <w:tcPr>
            <w:tcW w:w="644" w:type="pct"/>
            <w:vMerge/>
          </w:tcPr>
          <w:p w:rsidR="00E0308B" w:rsidRPr="00E0308B" w:rsidRDefault="00E0308B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anti-</w:t>
            </w:r>
            <w:proofErr w:type="spellStart"/>
            <w:r w:rsidRPr="00E0308B">
              <w:rPr>
                <w:rFonts w:ascii="Times New Roman" w:eastAsia="宋体" w:hAnsi="Times New Roman" w:cs="Times New Roman"/>
                <w:szCs w:val="21"/>
              </w:rPr>
              <w:t>Xa</w:t>
            </w:r>
            <w:r w:rsidRPr="00E0308B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E0308B">
              <w:rPr>
                <w:rFonts w:ascii="Times New Roman" w:eastAsia="宋体" w:hAnsi="Times New Roman" w:cs="Times New Roman"/>
                <w:szCs w:val="21"/>
              </w:rPr>
              <w:t xml:space="preserve"> (IU/mL)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0.472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0.489</w:t>
            </w:r>
          </w:p>
        </w:tc>
        <w:tc>
          <w:tcPr>
            <w:tcW w:w="713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96.53</w:t>
            </w:r>
          </w:p>
        </w:tc>
        <w:tc>
          <w:tcPr>
            <w:tcW w:w="1030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93.84, 99.30</w:t>
            </w:r>
          </w:p>
        </w:tc>
      </w:tr>
      <w:tr w:rsidR="00E0308B" w:rsidRPr="00E0308B" w:rsidTr="00E0308B">
        <w:trPr>
          <w:cantSplit/>
          <w:jc w:val="center"/>
        </w:trPr>
        <w:tc>
          <w:tcPr>
            <w:tcW w:w="644" w:type="pct"/>
            <w:vMerge/>
          </w:tcPr>
          <w:p w:rsidR="00E0308B" w:rsidRPr="00E0308B" w:rsidRDefault="00E0308B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E0308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 xml:space="preserve"> (</w:t>
            </w:r>
            <w:proofErr w:type="spellStart"/>
            <w:r w:rsidRPr="00E0308B">
              <w:rPr>
                <w:rFonts w:ascii="Times New Roman" w:eastAsia="宋体" w:hAnsi="Times New Roman" w:cs="Times New Roman"/>
                <w:szCs w:val="21"/>
              </w:rPr>
              <w:t>h·IU</w:t>
            </w:r>
            <w:proofErr w:type="spellEnd"/>
            <w:r w:rsidRPr="00E0308B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3.26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3.32</w:t>
            </w:r>
          </w:p>
        </w:tc>
        <w:tc>
          <w:tcPr>
            <w:tcW w:w="713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98.24</w:t>
            </w:r>
          </w:p>
        </w:tc>
        <w:tc>
          <w:tcPr>
            <w:tcW w:w="1030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95.64, 100.90</w:t>
            </w:r>
          </w:p>
        </w:tc>
      </w:tr>
      <w:tr w:rsidR="00E0308B" w:rsidRPr="00E0308B" w:rsidTr="00E0308B">
        <w:trPr>
          <w:cantSplit/>
          <w:jc w:val="center"/>
        </w:trPr>
        <w:tc>
          <w:tcPr>
            <w:tcW w:w="644" w:type="pct"/>
            <w:vMerge/>
          </w:tcPr>
          <w:p w:rsidR="00E0308B" w:rsidRPr="00E0308B" w:rsidRDefault="00E0308B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E0308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 xml:space="preserve"> (</w:t>
            </w:r>
            <w:proofErr w:type="spellStart"/>
            <w:r w:rsidRPr="00E0308B">
              <w:rPr>
                <w:rFonts w:ascii="Times New Roman" w:eastAsia="宋体" w:hAnsi="Times New Roman" w:cs="Times New Roman"/>
                <w:szCs w:val="21"/>
              </w:rPr>
              <w:t>h·IU</w:t>
            </w:r>
            <w:proofErr w:type="spellEnd"/>
            <w:r w:rsidRPr="00E0308B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3.57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3.62</w:t>
            </w:r>
          </w:p>
        </w:tc>
        <w:tc>
          <w:tcPr>
            <w:tcW w:w="713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98.62</w:t>
            </w:r>
          </w:p>
        </w:tc>
        <w:tc>
          <w:tcPr>
            <w:tcW w:w="1030" w:type="pct"/>
            <w:shd w:val="clear" w:color="auto" w:fill="FFFFFF"/>
            <w:hideMark/>
          </w:tcPr>
          <w:p w:rsidR="00E0308B" w:rsidRPr="00E0308B" w:rsidRDefault="00E0308B" w:rsidP="00E0308B">
            <w:pPr>
              <w:keepNext/>
              <w:keepLines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96.33, 100.97</w:t>
            </w:r>
          </w:p>
        </w:tc>
      </w:tr>
      <w:tr w:rsidR="00E0308B" w:rsidRPr="00E0308B" w:rsidTr="00C000DE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>n=30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vAlign w:val="center"/>
            <w:hideMark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参数（</w:t>
            </w:r>
            <w:r w:rsidRPr="00E0308B">
              <w:rPr>
                <w:rFonts w:ascii="Times New Roman" w:eastAsia="宋体" w:hAnsi="Times New Roman" w:cs="Times New Roman"/>
                <w:szCs w:val="21"/>
              </w:rPr>
              <w:t>anti-</w:t>
            </w:r>
            <w:proofErr w:type="spellStart"/>
            <w:r w:rsidRPr="00E0308B">
              <w:rPr>
                <w:rFonts w:ascii="Times New Roman" w:eastAsia="宋体" w:hAnsi="Times New Roman" w:cs="Times New Roman"/>
                <w:szCs w:val="21"/>
              </w:rPr>
              <w:t>IIa</w:t>
            </w:r>
            <w:proofErr w:type="spellEnd"/>
            <w:r w:rsidRPr="00E0308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137" w:type="pct"/>
            <w:gridSpan w:val="3"/>
            <w:vAlign w:val="center"/>
            <w:hideMark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vAlign w:val="center"/>
            <w:hideMark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0308B" w:rsidRPr="00E0308B" w:rsidTr="00E0308B">
        <w:trPr>
          <w:cantSplit/>
          <w:trHeight w:val="177"/>
          <w:jc w:val="center"/>
        </w:trPr>
        <w:tc>
          <w:tcPr>
            <w:tcW w:w="644" w:type="pct"/>
            <w:vMerge/>
          </w:tcPr>
          <w:p w:rsidR="00E0308B" w:rsidRPr="00E0308B" w:rsidRDefault="00E0308B" w:rsidP="00C000D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vAlign w:val="center"/>
            <w:hideMark/>
          </w:tcPr>
          <w:p w:rsidR="00E0308B" w:rsidRPr="00E0308B" w:rsidRDefault="00E0308B" w:rsidP="00C000D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vAlign w:val="center"/>
            <w:hideMark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vAlign w:val="center"/>
            <w:hideMark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vAlign w:val="center"/>
            <w:hideMark/>
          </w:tcPr>
          <w:p w:rsidR="00E0308B" w:rsidRPr="00E0308B" w:rsidRDefault="00E0308B" w:rsidP="00C000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vAlign w:val="center"/>
            <w:hideMark/>
          </w:tcPr>
          <w:p w:rsidR="00E0308B" w:rsidRPr="00E0308B" w:rsidRDefault="00E0308B" w:rsidP="00C000D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308B" w:rsidRPr="00E0308B" w:rsidTr="00C000DE">
        <w:trPr>
          <w:cantSplit/>
          <w:trHeight w:val="20"/>
          <w:jc w:val="center"/>
        </w:trPr>
        <w:tc>
          <w:tcPr>
            <w:tcW w:w="644" w:type="pct"/>
            <w:vMerge/>
          </w:tcPr>
          <w:p w:rsidR="00E0308B" w:rsidRPr="00E0308B" w:rsidRDefault="00E0308B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anti-</w:t>
            </w:r>
            <w:proofErr w:type="spellStart"/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IIa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(IU/mL)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0.124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0.113</w:t>
            </w:r>
          </w:p>
        </w:tc>
        <w:tc>
          <w:tcPr>
            <w:tcW w:w="713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109.55</w:t>
            </w:r>
          </w:p>
        </w:tc>
        <w:tc>
          <w:tcPr>
            <w:tcW w:w="1030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105.28, 114.00</w:t>
            </w:r>
          </w:p>
        </w:tc>
      </w:tr>
      <w:tr w:rsidR="00E0308B" w:rsidRPr="00E0308B" w:rsidTr="00C000DE">
        <w:trPr>
          <w:cantSplit/>
          <w:jc w:val="center"/>
        </w:trPr>
        <w:tc>
          <w:tcPr>
            <w:tcW w:w="644" w:type="pct"/>
            <w:vMerge/>
          </w:tcPr>
          <w:p w:rsidR="00E0308B" w:rsidRPr="00E0308B" w:rsidRDefault="00E0308B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AUEC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h·IU</w:t>
            </w:r>
            <w:proofErr w:type="spellEnd"/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0.794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0.695</w:t>
            </w:r>
          </w:p>
        </w:tc>
        <w:tc>
          <w:tcPr>
            <w:tcW w:w="713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114.32</w:t>
            </w:r>
          </w:p>
        </w:tc>
        <w:tc>
          <w:tcPr>
            <w:tcW w:w="1030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110.62, 118.15</w:t>
            </w:r>
          </w:p>
        </w:tc>
      </w:tr>
      <w:tr w:rsidR="00E0308B" w:rsidRPr="00E0308B" w:rsidTr="00E0308B">
        <w:trPr>
          <w:cantSplit/>
          <w:jc w:val="center"/>
        </w:trPr>
        <w:tc>
          <w:tcPr>
            <w:tcW w:w="644" w:type="pct"/>
            <w:vMerge/>
          </w:tcPr>
          <w:p w:rsidR="00E0308B" w:rsidRPr="00E0308B" w:rsidRDefault="00E0308B" w:rsidP="00E030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AUEC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</w:t>
            </w:r>
            <w:proofErr w:type="spellStart"/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h·IU</w:t>
            </w:r>
            <w:proofErr w:type="spellEnd"/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/mL)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0.918</w:t>
            </w:r>
          </w:p>
        </w:tc>
        <w:tc>
          <w:tcPr>
            <w:tcW w:w="712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0.811</w:t>
            </w:r>
          </w:p>
        </w:tc>
        <w:tc>
          <w:tcPr>
            <w:tcW w:w="713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113.15</w:t>
            </w:r>
          </w:p>
        </w:tc>
        <w:tc>
          <w:tcPr>
            <w:tcW w:w="1030" w:type="pct"/>
            <w:shd w:val="clear" w:color="auto" w:fill="FFFFFF"/>
            <w:hideMark/>
          </w:tcPr>
          <w:p w:rsidR="00E0308B" w:rsidRPr="00E0308B" w:rsidRDefault="00E0308B" w:rsidP="00E0308B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308B">
              <w:rPr>
                <w:rFonts w:ascii="Times New Roman" w:eastAsia="宋体" w:hAnsi="Times New Roman" w:cs="Times New Roman"/>
                <w:kern w:val="0"/>
                <w:szCs w:val="21"/>
              </w:rPr>
              <w:t>109.88, 116.52</w:t>
            </w:r>
          </w:p>
        </w:tc>
      </w:tr>
    </w:tbl>
    <w:p w:rsidR="00AE0A9F" w:rsidRPr="00E0308B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0308B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0308B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E0308B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E0308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E0308B" w:rsidRPr="00E0308B">
        <w:rPr>
          <w:rFonts w:ascii="Times New Roman" w:eastAsia="宋体" w:hAnsi="Times New Roman" w:cs="Times New Roman"/>
          <w:sz w:val="24"/>
          <w:szCs w:val="24"/>
        </w:rPr>
        <w:t>齐鲁制药有限公司</w:t>
      </w:r>
      <w:r w:rsidRPr="00E0308B">
        <w:rPr>
          <w:rFonts w:ascii="Times New Roman" w:eastAsia="宋体" w:hAnsi="Times New Roman" w:cs="Times New Roman"/>
          <w:sz w:val="24"/>
          <w:szCs w:val="24"/>
        </w:rPr>
        <w:t>生产的</w:t>
      </w:r>
      <w:r w:rsidR="00E0308B" w:rsidRPr="00E0308B">
        <w:rPr>
          <w:rFonts w:ascii="Times New Roman" w:eastAsia="宋体" w:hAnsi="Times New Roman" w:cs="Times New Roman"/>
          <w:sz w:val="24"/>
          <w:szCs w:val="24"/>
        </w:rPr>
        <w:t>达肝素钠注射液</w:t>
      </w:r>
      <w:r w:rsidRPr="00E0308B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E0308B" w:rsidRPr="00E0308B">
        <w:rPr>
          <w:rFonts w:ascii="Times New Roman" w:eastAsia="宋体" w:hAnsi="Times New Roman" w:cs="Times New Roman"/>
          <w:sz w:val="24"/>
          <w:szCs w:val="24"/>
        </w:rPr>
        <w:t>0.2mL: 5000IU</w:t>
      </w:r>
      <w:r w:rsidRPr="00E0308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0308B">
        <w:rPr>
          <w:rFonts w:ascii="Times New Roman" w:eastAsia="宋体" w:hAnsi="Times New Roman" w:cs="Times New Roman"/>
          <w:sz w:val="24"/>
          <w:szCs w:val="24"/>
        </w:rPr>
        <w:t>和</w:t>
      </w:r>
      <w:r w:rsidRPr="00E0308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E0308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777" w:rsidRDefault="00F41777" w:rsidP="00AE0A9F">
      <w:r>
        <w:separator/>
      </w:r>
    </w:p>
  </w:endnote>
  <w:endnote w:type="continuationSeparator" w:id="0">
    <w:p w:rsidR="00F41777" w:rsidRDefault="00F4177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2569B" w:rsidRPr="0002569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777" w:rsidRDefault="00F41777" w:rsidP="00AE0A9F">
      <w:r>
        <w:separator/>
      </w:r>
    </w:p>
  </w:footnote>
  <w:footnote w:type="continuationSeparator" w:id="0">
    <w:p w:rsidR="00F41777" w:rsidRDefault="00F4177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2569B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A4EFA"/>
    <w:rsid w:val="00AD728E"/>
    <w:rsid w:val="00AE0A9F"/>
    <w:rsid w:val="00B35DF7"/>
    <w:rsid w:val="00BD3892"/>
    <w:rsid w:val="00CC320C"/>
    <w:rsid w:val="00D21EC1"/>
    <w:rsid w:val="00E0308B"/>
    <w:rsid w:val="00E73FD3"/>
    <w:rsid w:val="00EC12E8"/>
    <w:rsid w:val="00F4177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BC44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27</cp:revision>
  <dcterms:created xsi:type="dcterms:W3CDTF">2022-10-30T10:21:00Z</dcterms:created>
  <dcterms:modified xsi:type="dcterms:W3CDTF">2024-10-28T01:22:00Z</dcterms:modified>
</cp:coreProperties>
</file>