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33CF" w:rsidRPr="00AE0A9F" w:rsidRDefault="0041229A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1229A">
              <w:rPr>
                <w:rFonts w:ascii="宋体" w:eastAsia="宋体" w:hAnsi="宋体" w:cs="Times New Roman" w:hint="eastAsia"/>
                <w:sz w:val="24"/>
                <w:szCs w:val="24"/>
              </w:rPr>
              <w:t>伏</w:t>
            </w:r>
            <w:proofErr w:type="gramStart"/>
            <w:r w:rsidRPr="0041229A">
              <w:rPr>
                <w:rFonts w:ascii="宋体" w:eastAsia="宋体" w:hAnsi="宋体" w:cs="Times New Roman" w:hint="eastAsia"/>
                <w:sz w:val="24"/>
                <w:szCs w:val="24"/>
              </w:rPr>
              <w:t>格列波糖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proofErr w:type="gramEnd"/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33CF" w:rsidRPr="00AE0A9F" w:rsidRDefault="0041229A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1229A">
              <w:rPr>
                <w:rFonts w:ascii="Times New Roman" w:eastAsia="宋体" w:hAnsi="Times New Roman" w:cs="Times New Roman"/>
                <w:sz w:val="24"/>
                <w:szCs w:val="24"/>
              </w:rPr>
              <w:t>Voglibose</w:t>
            </w:r>
            <w:proofErr w:type="spellEnd"/>
            <w:r w:rsidRPr="0041229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133CF" w:rsidRPr="00AE0A9F" w:rsidRDefault="0041229A" w:rsidP="0041229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133C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E133C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E133C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E133C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 w:rsidR="00E133CF"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mg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33CF" w:rsidRPr="00AE0A9F" w:rsidRDefault="0041229A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122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33CF" w:rsidRPr="00AE0A9F" w:rsidRDefault="004A289D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石家庄市灵寿县南环东路（城东工业园区）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33CF" w:rsidRPr="00AE0A9F" w:rsidRDefault="0041229A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1229A">
              <w:rPr>
                <w:rFonts w:ascii="宋体" w:eastAsia="宋体" w:hAnsi="宋体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4A28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H20</w:t>
            </w:r>
            <w:r w:rsidR="004A289D">
              <w:rPr>
                <w:rFonts w:ascii="Times New Roman" w:eastAsia="宋体" w:hAnsi="Times New Roman" w:cs="Times New Roman"/>
                <w:sz w:val="24"/>
                <w:szCs w:val="24"/>
              </w:rPr>
              <w:t>163123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E577D" w:rsidRDefault="004E577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577D">
              <w:rPr>
                <w:rFonts w:ascii="Times New Roman" w:eastAsia="宋体" w:hAnsi="Times New Roman" w:cs="Times New Roman"/>
                <w:sz w:val="24"/>
                <w:szCs w:val="24"/>
              </w:rPr>
              <w:t>714211202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E577D" w:rsidRDefault="004E577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1229A">
              <w:rPr>
                <w:rFonts w:ascii="宋体" w:eastAsia="宋体" w:hAnsi="宋体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6D4BE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6D4BE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A28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Times New Roman" w:eastAsia="宋体" w:hAnsi="Times New Roman" w:cs="Times New Roman"/>
                <w:sz w:val="24"/>
                <w:szCs w:val="24"/>
              </w:rPr>
              <w:t>B202200068-01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A28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宋体" w:eastAsia="宋体" w:hAnsi="宋体" w:cs="Times New Roman" w:hint="eastAsia"/>
                <w:sz w:val="24"/>
                <w:szCs w:val="24"/>
              </w:rPr>
              <w:t>宜昌市中心人民医院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A28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A289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4A289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289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单中心、随机、开放、两制剂、四周期、完全重复交叉试验设计的空腹生物等效性试验</w:t>
            </w:r>
          </w:p>
        </w:tc>
      </w:tr>
      <w:tr w:rsidR="006D4BE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4BEC" w:rsidRPr="00AE0A9F" w:rsidRDefault="006D4BEC" w:rsidP="006D4BE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D4BEC" w:rsidRPr="006D4BEC" w:rsidRDefault="006D4BEC" w:rsidP="006D4BE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4BEC">
              <w:rPr>
                <w:rFonts w:ascii="宋体" w:eastAsia="宋体" w:hAnsi="宋体" w:cs="Times New Roman" w:hint="eastAsia"/>
                <w:sz w:val="24"/>
                <w:szCs w:val="24"/>
              </w:rPr>
              <w:t>葡萄糖</w:t>
            </w:r>
          </w:p>
        </w:tc>
      </w:tr>
      <w:tr w:rsidR="006D4BE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4BEC" w:rsidRPr="00AE0A9F" w:rsidRDefault="006D4BEC" w:rsidP="006D4B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D4BEC" w:rsidRPr="006D4BEC" w:rsidRDefault="006D4BEC" w:rsidP="006D4BE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4BEC">
              <w:rPr>
                <w:rFonts w:ascii="宋体" w:eastAsia="宋体" w:hAnsi="宋体" w:cs="Times New Roman" w:hint="eastAsia"/>
                <w:sz w:val="24"/>
                <w:szCs w:val="24"/>
              </w:rPr>
              <w:t>己糖激酶法</w:t>
            </w:r>
          </w:p>
        </w:tc>
      </w:tr>
      <w:tr w:rsidR="006D4BE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4BEC" w:rsidRPr="00AE0A9F" w:rsidRDefault="006D4BEC" w:rsidP="006D4BE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D4BEC" w:rsidRPr="006D4BEC" w:rsidRDefault="006D4BEC" w:rsidP="006D4BE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D4BEC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D4BEC" w:rsidRPr="006D4BEC" w:rsidRDefault="006D4BEC" w:rsidP="006D4BEC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szCs w:val="21"/>
        </w:rPr>
        <w:t>血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清葡萄糖主要指标</w:t>
      </w:r>
      <w:proofErr w:type="spellStart"/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ΔC</w:t>
      </w:r>
      <w:r w:rsidRPr="006D4BEC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max</w:t>
      </w:r>
      <w:proofErr w:type="spellEnd"/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和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ΔAUEC</w:t>
      </w:r>
      <w:r w:rsidRPr="006D4BEC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0-4h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生物等效性结果（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BES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，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N=55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）</w:t>
      </w:r>
    </w:p>
    <w:tbl>
      <w:tblPr>
        <w:tblW w:w="59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893"/>
        <w:gridCol w:w="811"/>
        <w:gridCol w:w="689"/>
        <w:gridCol w:w="794"/>
        <w:gridCol w:w="636"/>
        <w:gridCol w:w="944"/>
        <w:gridCol w:w="1144"/>
        <w:gridCol w:w="794"/>
        <w:gridCol w:w="815"/>
        <w:gridCol w:w="928"/>
      </w:tblGrid>
      <w:tr w:rsidR="006D4BEC" w:rsidRPr="006D4BEC" w:rsidTr="006D4BEC">
        <w:trPr>
          <w:trHeight w:val="397"/>
          <w:jc w:val="center"/>
        </w:trPr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参数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（单位）</w:t>
            </w:r>
          </w:p>
        </w:tc>
        <w:tc>
          <w:tcPr>
            <w:tcW w:w="4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评价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方法</w:t>
            </w:r>
          </w:p>
        </w:tc>
        <w:tc>
          <w:tcPr>
            <w:tcW w:w="11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平均生物等效性（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是否通过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方法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等效限度</w:t>
            </w:r>
          </w:p>
        </w:tc>
        <w:tc>
          <w:tcPr>
            <w:tcW w:w="18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参比制剂标度的平均生物等效性（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RSABE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是否通过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RSABE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方法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等效限度</w:t>
            </w: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下限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上限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[</w:t>
            </w:r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≥0.294]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[0.80,1.25]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95%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置信上限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[&lt;=0]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CV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W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4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ΔC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proofErr w:type="spellEnd"/>
            <w:r w:rsidRPr="006D4BEC">
              <w:rPr>
                <w:rFonts w:ascii="Times New Roman" w:eastAsia="宋体" w:hAnsi="Times New Roman" w:cs="Times New Roman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102.43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92.49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113.44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0.426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1.0329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.1034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44.58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ΔAUEC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0-4h</w:t>
            </w:r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r w:rsidRPr="006D4BEC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proofErr w:type="spellEnd"/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107.24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91.61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125.54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0.830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1.1376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-0.3611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99.53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</w:tbl>
    <w:p w:rsidR="004E577D" w:rsidRDefault="006D4BEC" w:rsidP="006D4BEC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血清葡萄糖次要指标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ΔAUEC</w:t>
      </w:r>
      <w:r w:rsidRPr="004E577D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0-2h</w:t>
      </w: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proofErr w:type="spellStart"/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GluC</w:t>
      </w:r>
      <w:r w:rsidRPr="004E577D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max</w:t>
      </w:r>
      <w:proofErr w:type="spellEnd"/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、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GluAUC</w:t>
      </w:r>
      <w:r w:rsidRPr="004E577D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0-2h</w:t>
      </w: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和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GluAUC</w:t>
      </w:r>
      <w:r w:rsidRPr="004E577D">
        <w:rPr>
          <w:rFonts w:ascii="Times New Roman" w:eastAsia="宋体" w:hAnsi="Times New Roman" w:cs="Times New Roman"/>
          <w:b/>
          <w:color w:val="000000"/>
          <w:szCs w:val="21"/>
          <w:vertAlign w:val="subscript"/>
        </w:rPr>
        <w:t>0-4h</w:t>
      </w: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生物等效性结果</w:t>
      </w:r>
    </w:p>
    <w:p w:rsidR="006D4BEC" w:rsidRDefault="006D4BEC" w:rsidP="006D4BEC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（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BES</w:t>
      </w: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，</w:t>
      </w:r>
      <w:r w:rsidRPr="006D4BEC">
        <w:rPr>
          <w:rFonts w:ascii="Times New Roman" w:eastAsia="宋体" w:hAnsi="Times New Roman" w:cs="Times New Roman"/>
          <w:b/>
          <w:color w:val="000000"/>
          <w:szCs w:val="21"/>
        </w:rPr>
        <w:t>N=55</w:t>
      </w:r>
      <w:r w:rsidRPr="006D4BEC">
        <w:rPr>
          <w:rFonts w:ascii="Times New Roman" w:eastAsia="宋体" w:hAnsi="Times New Roman" w:cs="Times New Roman" w:hint="eastAsia"/>
          <w:b/>
          <w:color w:val="000000"/>
          <w:szCs w:val="21"/>
        </w:rPr>
        <w:t>）</w:t>
      </w:r>
    </w:p>
    <w:tbl>
      <w:tblPr>
        <w:tblW w:w="54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893"/>
        <w:gridCol w:w="811"/>
        <w:gridCol w:w="689"/>
        <w:gridCol w:w="794"/>
        <w:gridCol w:w="636"/>
        <w:gridCol w:w="944"/>
        <w:gridCol w:w="1144"/>
        <w:gridCol w:w="794"/>
        <w:gridCol w:w="815"/>
        <w:gridCol w:w="893"/>
      </w:tblGrid>
      <w:tr w:rsidR="006D4BEC" w:rsidRPr="006D4BEC" w:rsidTr="006D4BEC">
        <w:trPr>
          <w:trHeight w:val="397"/>
          <w:tblHeader/>
          <w:jc w:val="center"/>
        </w:trPr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参数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（单位）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评价方法</w:t>
            </w:r>
          </w:p>
        </w:tc>
        <w:tc>
          <w:tcPr>
            <w:tcW w:w="10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平均生物等效性（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是否通过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方法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等效限度</w:t>
            </w:r>
          </w:p>
        </w:tc>
        <w:tc>
          <w:tcPr>
            <w:tcW w:w="1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参比制剂标度的平均生物等效性（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RSABE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是否通过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RSABE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方法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等效限度</w:t>
            </w:r>
          </w:p>
        </w:tc>
      </w:tr>
      <w:tr w:rsidR="006D4BEC" w:rsidRPr="006D4BEC" w:rsidTr="006D4BEC">
        <w:trPr>
          <w:trHeight w:val="397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GMR</w:t>
            </w:r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下限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上限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[0.80,1.25]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95%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置信上限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br/>
              <w:t>[&lt;=0]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CV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W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8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3355B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ΔAUEC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0-2h</w:t>
            </w:r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r w:rsidRPr="006D4BEC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6D4BEC">
              <w:rPr>
                <w:rFonts w:ascii="Times New Roman" w:eastAsia="宋体" w:hAnsi="Times New Roman" w:cs="Times New Roman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102.85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89.08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118.76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0.704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0.9968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-0.2911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80.16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GluC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proofErr w:type="spellEnd"/>
            <w:r w:rsidRPr="006D4BEC">
              <w:rPr>
                <w:rFonts w:ascii="Times New Roman" w:eastAsia="宋体" w:hAnsi="Times New Roman" w:cs="Times New Roman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101.20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98.18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104.32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0.139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1.0157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-0.0108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13.97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GluAUC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0-2h</w:t>
            </w:r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r w:rsidRPr="006D4BEC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6D4BEC">
              <w:rPr>
                <w:rFonts w:ascii="Times New Roman" w:eastAsia="宋体" w:hAnsi="Times New Roman" w:cs="Times New Roman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100.69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98.88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102.54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0.078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1.0088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-0.0034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7.84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6D4BEC" w:rsidRPr="006D4BEC" w:rsidTr="006D4BEC">
        <w:trPr>
          <w:trHeight w:val="397"/>
          <w:jc w:val="center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GluAUC</w:t>
            </w:r>
            <w:r w:rsidRPr="006D4BEC">
              <w:rPr>
                <w:rFonts w:ascii="Times New Roman" w:eastAsia="宋体" w:hAnsi="Times New Roman" w:cs="Times New Roman"/>
                <w:szCs w:val="21"/>
                <w:vertAlign w:val="subscript"/>
              </w:rPr>
              <w:t>0-4h</w:t>
            </w:r>
          </w:p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6D4BEC">
              <w:rPr>
                <w:rFonts w:ascii="Times New Roman" w:eastAsia="宋体" w:hAnsi="Times New Roman" w:cs="Times New Roman"/>
                <w:szCs w:val="21"/>
              </w:rPr>
              <w:t>mmol</w:t>
            </w:r>
            <w:r w:rsidRPr="006D4BEC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6D4BEC">
              <w:rPr>
                <w:rFonts w:ascii="Times New Roman" w:eastAsia="宋体" w:hAnsi="Times New Roman" w:cs="Times New Roman"/>
                <w:szCs w:val="21"/>
              </w:rPr>
              <w:t>/L</w:t>
            </w:r>
            <w:r w:rsidRPr="006D4B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100.16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99.17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101.15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0.046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1.0034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-0.0012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4.59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EC" w:rsidRPr="006D4BEC" w:rsidRDefault="006D4BEC" w:rsidP="006D4B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4BE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4E577D" w:rsidRPr="004E577D" w:rsidRDefault="00AE0A9F" w:rsidP="004E577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E577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4E577D" w:rsidRDefault="00AE0A9F" w:rsidP="004E577D">
      <w:pPr>
        <w:pStyle w:val="a8"/>
        <w:ind w:firstLineChars="200" w:firstLine="560"/>
        <w:rPr>
          <w:rFonts w:ascii="宋体" w:eastAsia="宋体" w:hAnsi="宋体" w:cs="Times New Roman"/>
          <w:b/>
          <w:sz w:val="28"/>
          <w:szCs w:val="28"/>
        </w:rPr>
      </w:pPr>
      <w:r w:rsidRPr="004E577D">
        <w:rPr>
          <w:rFonts w:ascii="宋体" w:eastAsia="宋体" w:hAnsi="宋体" w:cs="Times New Roman" w:hint="eastAsia"/>
          <w:kern w:val="0"/>
          <w:sz w:val="28"/>
          <w:szCs w:val="28"/>
        </w:rPr>
        <w:t>建议</w:t>
      </w:r>
      <w:r w:rsidR="004A289D" w:rsidRPr="004E577D">
        <w:rPr>
          <w:rFonts w:ascii="Times New Roman" w:eastAsia="宋体" w:hAnsi="Times New Roman" w:cs="Times New Roman" w:hint="eastAsia"/>
          <w:sz w:val="28"/>
          <w:szCs w:val="28"/>
        </w:rPr>
        <w:t>石家庄市华新药业有限责任公司</w:t>
      </w:r>
      <w:r w:rsidRPr="004E577D">
        <w:rPr>
          <w:rFonts w:ascii="宋体" w:eastAsia="宋体" w:hAnsi="宋体" w:cs="Times New Roman" w:hint="eastAsia"/>
          <w:sz w:val="28"/>
          <w:szCs w:val="28"/>
        </w:rPr>
        <w:t>生产的</w:t>
      </w:r>
      <w:r w:rsidR="004A289D" w:rsidRPr="004E577D">
        <w:rPr>
          <w:rFonts w:ascii="宋体" w:eastAsia="宋体" w:hAnsi="宋体" w:cs="Times New Roman" w:hint="eastAsia"/>
          <w:sz w:val="28"/>
          <w:szCs w:val="28"/>
        </w:rPr>
        <w:t>伏</w:t>
      </w:r>
      <w:proofErr w:type="gramStart"/>
      <w:r w:rsidR="004A289D" w:rsidRPr="004E577D">
        <w:rPr>
          <w:rFonts w:ascii="宋体" w:eastAsia="宋体" w:hAnsi="宋体" w:cs="Times New Roman" w:hint="eastAsia"/>
          <w:sz w:val="28"/>
          <w:szCs w:val="28"/>
        </w:rPr>
        <w:t>格列波糖片</w:t>
      </w:r>
      <w:proofErr w:type="gramEnd"/>
      <w:r w:rsidRPr="004E577D">
        <w:rPr>
          <w:rFonts w:ascii="Times New Roman" w:eastAsia="宋体" w:hAnsi="Times New Roman" w:cs="Times New Roman"/>
          <w:sz w:val="28"/>
          <w:szCs w:val="28"/>
        </w:rPr>
        <w:t>（规格</w:t>
      </w:r>
      <w:r w:rsidRPr="004E577D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4A289D" w:rsidRPr="004E577D">
        <w:rPr>
          <w:rFonts w:ascii="Times New Roman" w:eastAsia="宋体" w:hAnsi="Times New Roman" w:cs="Times New Roman" w:hint="eastAsia"/>
          <w:kern w:val="0"/>
          <w:sz w:val="28"/>
          <w:szCs w:val="28"/>
          <w:lang w:val="zh-CN"/>
        </w:rPr>
        <w:t>0</w:t>
      </w:r>
      <w:r w:rsidR="004A289D" w:rsidRPr="004E577D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.2</w:t>
      </w:r>
      <w:r w:rsidR="00E133CF" w:rsidRPr="004E577D">
        <w:rPr>
          <w:rFonts w:ascii="Times New Roman" w:eastAsia="宋体" w:hAnsi="Times New Roman" w:cs="Times New Roman"/>
          <w:kern w:val="0"/>
          <w:sz w:val="28"/>
          <w:szCs w:val="28"/>
          <w:lang w:val="zh-CN"/>
        </w:rPr>
        <w:t>mg</w:t>
      </w:r>
      <w:r w:rsidRPr="004E577D">
        <w:rPr>
          <w:rFonts w:ascii="Times New Roman" w:eastAsia="宋体" w:hAnsi="Times New Roman" w:cs="Times New Roman"/>
          <w:sz w:val="28"/>
          <w:szCs w:val="28"/>
        </w:rPr>
        <w:t>）通过仿制药质量</w:t>
      </w:r>
      <w:r w:rsidR="00F91F52" w:rsidRPr="004E577D">
        <w:rPr>
          <w:rFonts w:ascii="Times New Roman" w:eastAsia="宋体" w:hAnsi="Times New Roman" w:cs="Times New Roman" w:hint="eastAsia"/>
          <w:sz w:val="28"/>
          <w:szCs w:val="28"/>
        </w:rPr>
        <w:t>和</w:t>
      </w:r>
      <w:bookmarkStart w:id="0" w:name="_GoBack"/>
      <w:bookmarkEnd w:id="0"/>
      <w:r w:rsidRPr="004E577D">
        <w:rPr>
          <w:rFonts w:ascii="Times New Roman" w:eastAsia="宋体" w:hAnsi="Times New Roman" w:cs="Times New Roman"/>
          <w:sz w:val="28"/>
          <w:szCs w:val="28"/>
        </w:rPr>
        <w:t>疗效一致性评价。</w:t>
      </w:r>
    </w:p>
    <w:sectPr w:rsidR="008F5C16" w:rsidRPr="004E577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385" w:rsidRDefault="00212385" w:rsidP="00AE0A9F">
      <w:r>
        <w:separator/>
      </w:r>
    </w:p>
  </w:endnote>
  <w:endnote w:type="continuationSeparator" w:id="0">
    <w:p w:rsidR="00212385" w:rsidRDefault="0021238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E577D" w:rsidRPr="004E577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385" w:rsidRDefault="00212385" w:rsidP="00AE0A9F">
      <w:r>
        <w:separator/>
      </w:r>
    </w:p>
  </w:footnote>
  <w:footnote w:type="continuationSeparator" w:id="0">
    <w:p w:rsidR="00212385" w:rsidRDefault="0021238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6314"/>
    <w:rsid w:val="000218CD"/>
    <w:rsid w:val="00093BA2"/>
    <w:rsid w:val="000B2A8D"/>
    <w:rsid w:val="001E5C0D"/>
    <w:rsid w:val="001F0902"/>
    <w:rsid w:val="00212385"/>
    <w:rsid w:val="00253F4B"/>
    <w:rsid w:val="002605CE"/>
    <w:rsid w:val="003D73D2"/>
    <w:rsid w:val="0041229A"/>
    <w:rsid w:val="004A289D"/>
    <w:rsid w:val="004E577D"/>
    <w:rsid w:val="005939A2"/>
    <w:rsid w:val="005B5EB6"/>
    <w:rsid w:val="006111C0"/>
    <w:rsid w:val="006D4BEC"/>
    <w:rsid w:val="00726918"/>
    <w:rsid w:val="00742846"/>
    <w:rsid w:val="00770545"/>
    <w:rsid w:val="0079337D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133CF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E05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E57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4</cp:revision>
  <dcterms:created xsi:type="dcterms:W3CDTF">2023-12-05T06:07:00Z</dcterms:created>
  <dcterms:modified xsi:type="dcterms:W3CDTF">2023-12-05T06:29:00Z</dcterms:modified>
</cp:coreProperties>
</file>