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8DA1" w14:textId="77777777" w:rsidR="00AE0A9F" w:rsidRPr="00CC611A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C611A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047F447D" w14:textId="77777777" w:rsidR="00AE0A9F" w:rsidRPr="00CC611A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C611A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21733193" w14:textId="77777777" w:rsidR="00AE0A9F" w:rsidRPr="00CC611A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5B4196CA" w14:textId="77777777" w:rsidR="00AE0A9F" w:rsidRPr="00CC611A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CC611A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CC611A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CC611A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CC611A" w14:paraId="6B62035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E429AAC" w14:textId="77777777" w:rsidR="00AE0A9F" w:rsidRPr="00CC611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C34A9C6" w14:textId="473E0D9D" w:rsidR="00AE0A9F" w:rsidRPr="00CC611A" w:rsidRDefault="002E330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雷贝拉</w:t>
            </w:r>
            <w:proofErr w:type="gramStart"/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唑钠肠</w:t>
            </w:r>
            <w:proofErr w:type="gramEnd"/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溶片</w:t>
            </w:r>
          </w:p>
        </w:tc>
      </w:tr>
      <w:tr w:rsidR="00AE0A9F" w:rsidRPr="00CC611A" w14:paraId="64AC3BB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A272ED2" w14:textId="77777777" w:rsidR="00AE0A9F" w:rsidRPr="00CC611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3C3BFED6" w14:textId="5E6590F7" w:rsidR="00AE0A9F" w:rsidRPr="00CC611A" w:rsidRDefault="002E330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Rabeprazole Sodium Enteric-coated Tablets</w:t>
            </w:r>
          </w:p>
        </w:tc>
      </w:tr>
      <w:tr w:rsidR="00AE0A9F" w:rsidRPr="00CC611A" w14:paraId="6B53E6E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E7B0158" w14:textId="77777777" w:rsidR="00AE0A9F" w:rsidRPr="00CC611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FEF531B" w14:textId="6BCA856E" w:rsidR="00AE0A9F" w:rsidRPr="00CC611A" w:rsidRDefault="002E3309" w:rsidP="002E330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肠溶</w:t>
            </w:r>
            <w:r w:rsidR="00E859FC"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A82D52"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E859FC"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CC611A" w14:paraId="4F4D046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CCD4F29" w14:textId="77777777" w:rsidR="00AE0A9F" w:rsidRPr="00CC611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B629077" w14:textId="2C9F8514" w:rsidR="00AE0A9F" w:rsidRPr="00CC611A" w:rsidRDefault="002E330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成都迪康药业股份有限公司</w:t>
            </w:r>
          </w:p>
        </w:tc>
      </w:tr>
      <w:tr w:rsidR="00AE0A9F" w:rsidRPr="00CC611A" w14:paraId="07F4855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8AE3E07" w14:textId="77777777" w:rsidR="00AE0A9F" w:rsidRPr="00CC611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2F8E7A3F" w14:textId="2CEF695D" w:rsidR="00AE0A9F" w:rsidRPr="00CC611A" w:rsidRDefault="002E330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成都高新区（西区）</w:t>
            </w:r>
            <w:proofErr w:type="gramStart"/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迪</w:t>
            </w:r>
            <w:proofErr w:type="gramEnd"/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康大道一号</w:t>
            </w:r>
          </w:p>
        </w:tc>
      </w:tr>
      <w:tr w:rsidR="00AE0A9F" w:rsidRPr="00CC611A" w14:paraId="78B1DBF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AAC8597" w14:textId="77777777" w:rsidR="00AE0A9F" w:rsidRPr="00CC611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578DDF06" w14:textId="39547981" w:rsidR="00AE0A9F" w:rsidRPr="00CC611A" w:rsidRDefault="002E330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成都迪康药业股份有限公司</w:t>
            </w:r>
          </w:p>
        </w:tc>
      </w:tr>
      <w:tr w:rsidR="00AE0A9F" w:rsidRPr="00CC611A" w14:paraId="5568261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A509D6C" w14:textId="77777777" w:rsidR="00AE0A9F" w:rsidRPr="00CC611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61B41A77" w14:textId="776F0358" w:rsidR="00AE0A9F" w:rsidRPr="00CC611A" w:rsidRDefault="002E3309" w:rsidP="00B0646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H20040715</w:t>
            </w:r>
          </w:p>
        </w:tc>
      </w:tr>
      <w:tr w:rsidR="00AE0A9F" w:rsidRPr="00CC611A" w14:paraId="51DAEE8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78A188D" w14:textId="77777777" w:rsidR="00AE0A9F" w:rsidRPr="00CC611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27DC84AF" w14:textId="1E1C7B11" w:rsidR="00AE0A9F" w:rsidRPr="00CC611A" w:rsidRDefault="00B064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CC611A" w14:paraId="0E00E534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56FDEA1D" w14:textId="77777777" w:rsidR="00AE0A9F" w:rsidRPr="00CC611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660B4D66" w14:textId="77777777" w:rsidR="00AE0A9F" w:rsidRPr="00CC611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5AA52D5A" w14:textId="77777777" w:rsidR="00AE0A9F" w:rsidRPr="00CC611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0DC9B3BC" w14:textId="77777777" w:rsidR="00AE0A9F" w:rsidRPr="00CC611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CC611A" w14:paraId="086BD937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5365AE51" w14:textId="77777777" w:rsidR="00AE0A9F" w:rsidRPr="0007192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7EDD3CA1" w14:textId="67E5E3E6" w:rsidR="00AE0A9F" w:rsidRPr="00071923" w:rsidRDefault="00EA61F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190801</w:t>
            </w:r>
          </w:p>
        </w:tc>
      </w:tr>
      <w:tr w:rsidR="00AE0A9F" w:rsidRPr="00CC611A" w14:paraId="47DB183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C78B5AC" w14:textId="77777777" w:rsidR="00AE0A9F" w:rsidRPr="00CC611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2DDE6525" w14:textId="0FCAEC22" w:rsidR="00AE0A9F" w:rsidRPr="00CC611A" w:rsidRDefault="00F62C3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成都迪康药业股份有限公司</w:t>
            </w:r>
          </w:p>
        </w:tc>
      </w:tr>
      <w:tr w:rsidR="00AE0A9F" w:rsidRPr="00CC611A" w14:paraId="79F5104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B3D5677" w14:textId="77777777" w:rsidR="00AE0A9F" w:rsidRPr="00CC611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3B2AF490" w14:textId="77777777" w:rsidR="00AE0A9F" w:rsidRPr="00CC611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CC611A" w14:paraId="375E9190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497E5713" w14:textId="77777777" w:rsidR="00AE0A9F" w:rsidRPr="00CC611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0EDF414E" w14:textId="77777777" w:rsidR="00AE0A9F" w:rsidRPr="00CC611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25D9192A" w14:textId="77777777" w:rsidR="00AE0A9F" w:rsidRPr="00CC611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14A73335" w14:textId="77777777" w:rsidR="00AE0A9F" w:rsidRPr="00CC611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6D642EA6" w14:textId="77777777" w:rsidR="00AE0A9F" w:rsidRPr="00CC611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C611A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CC611A" w14:paraId="0A5B78A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2031382" w14:textId="77777777" w:rsidR="00AE0A9F" w:rsidRPr="0007192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0B104609" w14:textId="21395A1B" w:rsidR="00AE0A9F" w:rsidRPr="00071923" w:rsidRDefault="00F62C3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B202000017-01</w:t>
            </w:r>
          </w:p>
        </w:tc>
      </w:tr>
      <w:tr w:rsidR="00AE0A9F" w:rsidRPr="00CC611A" w14:paraId="44F013B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23046AD" w14:textId="77777777" w:rsidR="00AE0A9F" w:rsidRPr="0007192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41145AE6" w14:textId="4556BC47" w:rsidR="00AE0A9F" w:rsidRPr="00071923" w:rsidRDefault="00F62C3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湖南省职业病防治院</w:t>
            </w:r>
          </w:p>
        </w:tc>
      </w:tr>
      <w:tr w:rsidR="00AE0A9F" w:rsidRPr="00CC611A" w14:paraId="08BF80C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931AF2C" w14:textId="77777777" w:rsidR="00AE0A9F" w:rsidRPr="0007192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1219F458" w14:textId="24D66C16" w:rsidR="00AE0A9F" w:rsidRPr="00071923" w:rsidRDefault="00F62C34" w:rsidP="00705E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长沙砝码</w:t>
            </w:r>
            <w:proofErr w:type="gramStart"/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柯</w:t>
            </w:r>
            <w:proofErr w:type="gramEnd"/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数据科技有限责任公司</w:t>
            </w:r>
          </w:p>
        </w:tc>
      </w:tr>
      <w:tr w:rsidR="00AE0A9F" w:rsidRPr="00CC611A" w14:paraId="792A0EC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5BC1D99" w14:textId="77777777" w:rsidR="00AE0A9F" w:rsidRPr="0007192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0CC83F1E" w14:textId="0512FC5E" w:rsidR="00AE0A9F" w:rsidRPr="00071923" w:rsidRDefault="00F62C3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长沙都正生物科技股份有限公司</w:t>
            </w:r>
          </w:p>
        </w:tc>
      </w:tr>
      <w:tr w:rsidR="00AE0A9F" w:rsidRPr="00CC611A" w14:paraId="109CD46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D85E0ED" w14:textId="77777777" w:rsidR="00AE0A9F" w:rsidRPr="0007192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7412CF04" w14:textId="6B84158B" w:rsidR="00AE0A9F" w:rsidRPr="00071923" w:rsidRDefault="00093BA2" w:rsidP="00EA61F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随机、开放、单剂量、两序列、</w:t>
            </w:r>
            <w:r w:rsidR="00F62C34"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四</w:t>
            </w: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周期、</w:t>
            </w:r>
            <w:r w:rsidR="00EA61FC"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完全重复</w:t>
            </w: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交叉</w:t>
            </w:r>
          </w:p>
        </w:tc>
      </w:tr>
      <w:tr w:rsidR="00AE0A9F" w:rsidRPr="00CC611A" w14:paraId="67D993B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B8C2D88" w14:textId="77777777" w:rsidR="00AE0A9F" w:rsidRPr="0007192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7BBB9F42" w14:textId="44B1D1DF" w:rsidR="00AE0A9F" w:rsidRPr="00071923" w:rsidRDefault="009433C2" w:rsidP="00EA61FC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EA61FC"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雷贝拉</w:t>
            </w:r>
            <w:proofErr w:type="gramStart"/>
            <w:r w:rsidR="00EA61FC"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唑</w:t>
            </w:r>
            <w:proofErr w:type="gramEnd"/>
          </w:p>
        </w:tc>
      </w:tr>
      <w:tr w:rsidR="00AE0A9F" w:rsidRPr="00CC611A" w14:paraId="6FB864A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1040316" w14:textId="77777777" w:rsidR="00AE0A9F" w:rsidRPr="0007192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1F71A4A" w14:textId="77777777" w:rsidR="00AE0A9F" w:rsidRPr="00071923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CC611A" w14:paraId="7222D67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FFAE185" w14:textId="77777777" w:rsidR="00AE0A9F" w:rsidRPr="0007192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26AA6649" w14:textId="77777777" w:rsidR="00AE0A9F" w:rsidRPr="00071923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7192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14:paraId="3D8B3654" w14:textId="7AED9515" w:rsidR="00AE0A9F" w:rsidRPr="00071923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071923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071923">
        <w:rPr>
          <w:rFonts w:ascii="宋体" w:eastAsia="宋体" w:hAnsi="宋体" w:cs="Times New Roman" w:hint="eastAsia"/>
          <w:sz w:val="24"/>
          <w:szCs w:val="24"/>
        </w:rPr>
        <w:t>（</w:t>
      </w:r>
      <w:r w:rsidR="00EA61FC" w:rsidRPr="00071923">
        <w:rPr>
          <w:rFonts w:ascii="Times New Roman" w:eastAsia="宋体" w:hAnsi="Times New Roman" w:cs="Times New Roman"/>
          <w:sz w:val="24"/>
          <w:szCs w:val="24"/>
        </w:rPr>
        <w:t>2</w:t>
      </w:r>
      <w:r w:rsidR="00C83019" w:rsidRPr="00071923">
        <w:rPr>
          <w:rFonts w:ascii="Times New Roman" w:eastAsia="宋体" w:hAnsi="Times New Roman" w:cs="Times New Roman"/>
          <w:sz w:val="24"/>
          <w:szCs w:val="24"/>
        </w:rPr>
        <w:t>0</w:t>
      </w:r>
      <w:r w:rsidR="00677C8C" w:rsidRPr="00071923">
        <w:rPr>
          <w:rFonts w:ascii="Times New Roman" w:eastAsia="宋体" w:hAnsi="Times New Roman" w:cs="Times New Roman"/>
          <w:sz w:val="24"/>
          <w:szCs w:val="24"/>
        </w:rPr>
        <w:t>m</w:t>
      </w:r>
      <w:r w:rsidRPr="00071923">
        <w:rPr>
          <w:rFonts w:ascii="Times New Roman" w:eastAsia="宋体" w:hAnsi="Times New Roman" w:cs="Times New Roman"/>
          <w:sz w:val="24"/>
          <w:szCs w:val="24"/>
        </w:rPr>
        <w:t>g</w:t>
      </w:r>
      <w:r w:rsidRPr="00071923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EA61FC" w:rsidRPr="00071923">
        <w:rPr>
          <w:rFonts w:ascii="Times New Roman" w:eastAsia="宋体" w:hAnsi="Times New Roman" w:cs="Times New Roman" w:hint="eastAsia"/>
          <w:sz w:val="24"/>
          <w:szCs w:val="24"/>
        </w:rPr>
        <w:t>雷贝拉</w:t>
      </w:r>
      <w:proofErr w:type="gramStart"/>
      <w:r w:rsidR="00EA61FC" w:rsidRPr="00071923">
        <w:rPr>
          <w:rFonts w:ascii="Times New Roman" w:eastAsia="宋体" w:hAnsi="Times New Roman" w:cs="Times New Roman" w:hint="eastAsia"/>
          <w:sz w:val="24"/>
          <w:szCs w:val="24"/>
        </w:rPr>
        <w:t>唑</w:t>
      </w:r>
      <w:proofErr w:type="gramEnd"/>
      <w:r w:rsidRPr="00071923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58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2007"/>
        <w:gridCol w:w="741"/>
        <w:gridCol w:w="1595"/>
        <w:gridCol w:w="739"/>
        <w:gridCol w:w="1347"/>
        <w:gridCol w:w="1212"/>
        <w:gridCol w:w="985"/>
      </w:tblGrid>
      <w:tr w:rsidR="001666B7" w:rsidRPr="00CC611A" w14:paraId="1A21A2C2" w14:textId="77777777" w:rsidTr="005A7ABC">
        <w:trPr>
          <w:cantSplit/>
          <w:tblHeader/>
          <w:jc w:val="center"/>
        </w:trPr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651EB2" w14:textId="77777777" w:rsidR="001666B7" w:rsidRPr="00071923" w:rsidRDefault="001666B7" w:rsidP="001666B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235768FC" w14:textId="77777777" w:rsidR="001666B7" w:rsidRPr="00071923" w:rsidRDefault="001666B7" w:rsidP="001666B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2E0DA2A0" w14:textId="6B63489C" w:rsidR="001666B7" w:rsidRPr="00CC611A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</w:pPr>
            <w:r w:rsidRPr="0007192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071923">
              <w:rPr>
                <w:rFonts w:ascii="Times New Roman" w:eastAsia="宋体" w:hAnsi="Times New Roman" w:cs="Times New Roman"/>
                <w:szCs w:val="21"/>
              </w:rPr>
              <w:t>n=54</w:t>
            </w:r>
            <w:r w:rsidRPr="0007192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841EE2B" w14:textId="225EE89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药动学参数（单位）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045AAD15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T/R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5AEC0B8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T/R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的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90%CI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3C240E43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4E43FBC0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参比制剂</w:t>
            </w:r>
            <w:proofErr w:type="gramStart"/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个</w:t>
            </w:r>
            <w:proofErr w:type="gramEnd"/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体内变异（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11DE5AB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单侧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95%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置信区间上限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1300A0B3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采用方法</w:t>
            </w:r>
          </w:p>
        </w:tc>
      </w:tr>
      <w:tr w:rsidR="001666B7" w:rsidRPr="00CC611A" w14:paraId="016571AA" w14:textId="77777777" w:rsidTr="005A7ABC">
        <w:trPr>
          <w:cantSplit/>
          <w:jc w:val="center"/>
        </w:trPr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74CB6F" w14:textId="77777777" w:rsidR="001666B7" w:rsidRPr="00CC611A" w:rsidRDefault="001666B7" w:rsidP="001666B7">
            <w:pPr>
              <w:widowControl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176DBB01" w14:textId="5C24AFB0" w:rsidR="001666B7" w:rsidRPr="00071923" w:rsidRDefault="001666B7" w:rsidP="001666B7">
            <w:pPr>
              <w:widowControl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max</w:t>
            </w:r>
            <w:proofErr w:type="spellEnd"/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ng/mL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67ABD6A0" w14:textId="77777777" w:rsidR="001666B7" w:rsidRPr="00071923" w:rsidRDefault="001666B7" w:rsidP="001666B7">
            <w:pPr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83.51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465599FB" w14:textId="77777777" w:rsidR="001666B7" w:rsidRPr="00071923" w:rsidRDefault="001666B7" w:rsidP="001666B7">
            <w:pPr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73.12%~95.37%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5D011490" w14:textId="77777777" w:rsidR="001666B7" w:rsidRPr="00071923" w:rsidRDefault="001666B7" w:rsidP="001666B7">
            <w:pPr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0.5406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0D7EC51D" w14:textId="77777777" w:rsidR="001666B7" w:rsidRPr="00071923" w:rsidRDefault="001666B7" w:rsidP="001666B7">
            <w:pPr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58.26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535C931F" w14:textId="77777777" w:rsidR="001666B7" w:rsidRPr="00071923" w:rsidRDefault="001666B7" w:rsidP="001666B7">
            <w:pPr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-0.1125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184DED6" w14:textId="77777777" w:rsidR="001666B7" w:rsidRPr="00071923" w:rsidRDefault="001666B7" w:rsidP="001666B7">
            <w:pPr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RSABE</w:t>
            </w:r>
          </w:p>
        </w:tc>
      </w:tr>
      <w:tr w:rsidR="001666B7" w:rsidRPr="00CC611A" w14:paraId="0B992F15" w14:textId="77777777" w:rsidTr="005A7ABC">
        <w:trPr>
          <w:cantSplit/>
          <w:jc w:val="center"/>
        </w:trPr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3DCE17" w14:textId="77777777" w:rsidR="001666B7" w:rsidRPr="00CC611A" w:rsidRDefault="001666B7" w:rsidP="001666B7">
            <w:pPr>
              <w:widowControl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BC649E5" w14:textId="49AD024B" w:rsidR="001666B7" w:rsidRPr="00071923" w:rsidRDefault="001666B7" w:rsidP="001666B7">
            <w:pPr>
              <w:widowControl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AUC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0-t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h*ng/mL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10DA670" w14:textId="77777777" w:rsidR="001666B7" w:rsidRPr="00071923" w:rsidRDefault="001666B7" w:rsidP="001666B7">
            <w:pPr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93.65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33B710A2" w14:textId="77777777" w:rsidR="001666B7" w:rsidRPr="00071923" w:rsidRDefault="001666B7" w:rsidP="001666B7">
            <w:pPr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87.92%~99.75%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1105F557" w14:textId="77777777" w:rsidR="001666B7" w:rsidRPr="00071923" w:rsidRDefault="001666B7" w:rsidP="001666B7">
            <w:pPr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0.2593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CA1BFF5" w14:textId="77777777" w:rsidR="001666B7" w:rsidRPr="00071923" w:rsidRDefault="001666B7" w:rsidP="001666B7">
            <w:pPr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26.37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544DDA11" w14:textId="77777777" w:rsidR="001666B7" w:rsidRPr="00071923" w:rsidRDefault="001666B7" w:rsidP="001666B7">
            <w:pPr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49B3A3A1" w14:textId="77777777" w:rsidR="001666B7" w:rsidRPr="00071923" w:rsidRDefault="001666B7" w:rsidP="001666B7">
            <w:pPr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ABE</w:t>
            </w:r>
          </w:p>
        </w:tc>
      </w:tr>
      <w:tr w:rsidR="001666B7" w:rsidRPr="00CC611A" w14:paraId="759F0C84" w14:textId="77777777" w:rsidTr="005A7ABC">
        <w:trPr>
          <w:cantSplit/>
          <w:jc w:val="center"/>
        </w:trPr>
        <w:tc>
          <w:tcPr>
            <w:tcW w:w="5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6986" w14:textId="77777777" w:rsidR="001666B7" w:rsidRPr="00CC611A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0EAFF912" w14:textId="17180FD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AUC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0-∞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h*ng/mL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0FF2E31C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94.47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3FF6C28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89.46%~99.77%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8E52335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0.2314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98478A6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23.45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6A1574AF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542A4B7E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ABE</w:t>
            </w:r>
          </w:p>
        </w:tc>
      </w:tr>
      <w:tr w:rsidR="001666B7" w:rsidRPr="00CC611A" w14:paraId="793DD767" w14:textId="77777777" w:rsidTr="005A7ABC">
        <w:trPr>
          <w:cantSplit/>
          <w:jc w:val="center"/>
        </w:trPr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FF62B" w14:textId="77777777" w:rsidR="001666B7" w:rsidRPr="00071923" w:rsidRDefault="001666B7" w:rsidP="001666B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14:paraId="02C396F5" w14:textId="77777777" w:rsidR="001666B7" w:rsidRPr="00071923" w:rsidRDefault="001666B7" w:rsidP="001666B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038A34E7" w14:textId="2482E57C" w:rsidR="001666B7" w:rsidRPr="00CC611A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</w:pPr>
            <w:r w:rsidRPr="0007192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071923">
              <w:rPr>
                <w:rFonts w:ascii="Times New Roman" w:eastAsia="宋体" w:hAnsi="Times New Roman" w:cs="Times New Roman"/>
                <w:szCs w:val="21"/>
              </w:rPr>
              <w:t>n=54</w:t>
            </w:r>
            <w:r w:rsidRPr="0007192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ECF23B5" w14:textId="3CF0F8EB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药动学参数（单位）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6B99E44B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T/R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09D7EFBC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T/R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的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90%CI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3C14B4B9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SWR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0165E43E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参比制剂</w:t>
            </w:r>
            <w:proofErr w:type="gramStart"/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个</w:t>
            </w:r>
            <w:proofErr w:type="gramEnd"/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体内变异（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3CF1D97E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单侧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95%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置信区间上限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5318EBE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采用方法</w:t>
            </w:r>
          </w:p>
        </w:tc>
      </w:tr>
      <w:tr w:rsidR="001666B7" w:rsidRPr="00CC611A" w14:paraId="70D148AC" w14:textId="77777777" w:rsidTr="005A7ABC">
        <w:trPr>
          <w:cantSplit/>
          <w:jc w:val="center"/>
        </w:trPr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EE4D38" w14:textId="77777777" w:rsidR="001666B7" w:rsidRPr="00CC611A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547D7617" w14:textId="681C3A1D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max</w:t>
            </w:r>
            <w:proofErr w:type="spellEnd"/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ng/mL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6C282AF1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98.82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5C04508B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90.85%~107.48%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C92BB0A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0.3063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141E409B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31.37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67A14935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-0.0542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31825A5C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RSABE</w:t>
            </w:r>
          </w:p>
        </w:tc>
      </w:tr>
      <w:tr w:rsidR="001666B7" w:rsidRPr="00CC611A" w14:paraId="3C1F9DD6" w14:textId="77777777" w:rsidTr="005A7ABC">
        <w:trPr>
          <w:cantSplit/>
          <w:jc w:val="center"/>
        </w:trPr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77EB58" w14:textId="77777777" w:rsidR="001666B7" w:rsidRPr="00CC611A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7DDD2BE" w14:textId="5A151949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AUC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0-t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h*ng/mL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03EA7800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99.51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550A5B96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95.04%~104.20%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09685D31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0.1438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03CBD029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14.45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3CFD6094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5F6EE3A2" w14:textId="77777777" w:rsidR="001666B7" w:rsidRPr="00071923" w:rsidRDefault="001666B7" w:rsidP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ABE</w:t>
            </w:r>
          </w:p>
        </w:tc>
      </w:tr>
      <w:tr w:rsidR="001666B7" w:rsidRPr="00CC611A" w14:paraId="5F33FE1B" w14:textId="77777777" w:rsidTr="005A7ABC">
        <w:trPr>
          <w:cantSplit/>
          <w:jc w:val="center"/>
        </w:trPr>
        <w:tc>
          <w:tcPr>
            <w:tcW w:w="5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06C4" w14:textId="77777777" w:rsidR="001666B7" w:rsidRPr="00CC611A" w:rsidRDefault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3F6E85F" w14:textId="718C8966" w:rsidR="001666B7" w:rsidRPr="00071923" w:rsidRDefault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AUC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0-∞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h*ng/mL</w:t>
            </w: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523D3EE1" w14:textId="77777777" w:rsidR="001666B7" w:rsidRPr="00071923" w:rsidRDefault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99.81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12A22AB0" w14:textId="77777777" w:rsidR="001666B7" w:rsidRPr="00071923" w:rsidRDefault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95.46%~104.36%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24C5975" w14:textId="77777777" w:rsidR="001666B7" w:rsidRPr="00071923" w:rsidRDefault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0.1408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610CE31" w14:textId="77777777" w:rsidR="001666B7" w:rsidRPr="00071923" w:rsidRDefault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14.15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DC33531" w14:textId="77777777" w:rsidR="001666B7" w:rsidRPr="00071923" w:rsidRDefault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44DCA1B2" w14:textId="77777777" w:rsidR="001666B7" w:rsidRPr="00071923" w:rsidRDefault="001666B7">
            <w:pPr>
              <w:keepNext/>
              <w:widowControl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719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ABE</w:t>
            </w:r>
          </w:p>
        </w:tc>
      </w:tr>
    </w:tbl>
    <w:p w14:paraId="6E2F26AE" w14:textId="77777777" w:rsidR="00AE0A9F" w:rsidRPr="00120D73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120D73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21EBD1D5" w14:textId="7D0CE42A" w:rsidR="008F5C16" w:rsidRDefault="00AE0A9F" w:rsidP="005939A2">
      <w:pPr>
        <w:spacing w:line="360" w:lineRule="auto"/>
        <w:ind w:firstLineChars="196" w:firstLine="470"/>
      </w:pPr>
      <w:r w:rsidRPr="00120D73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A7ABC" w:rsidRPr="00120D73">
        <w:rPr>
          <w:rFonts w:ascii="Times New Roman" w:eastAsia="宋体" w:hAnsi="Times New Roman" w:cs="Times New Roman"/>
          <w:sz w:val="24"/>
          <w:szCs w:val="24"/>
        </w:rPr>
        <w:t>成都迪康药业股份有限公司</w:t>
      </w:r>
      <w:r w:rsidRPr="00120D73">
        <w:rPr>
          <w:rFonts w:ascii="宋体" w:eastAsia="宋体" w:hAnsi="宋体" w:cs="Times New Roman" w:hint="eastAsia"/>
          <w:sz w:val="24"/>
          <w:szCs w:val="24"/>
        </w:rPr>
        <w:t>生产的</w:t>
      </w:r>
      <w:r w:rsidR="005A7ABC" w:rsidRPr="00120D73">
        <w:rPr>
          <w:rFonts w:ascii="Times New Roman" w:eastAsia="宋体" w:hAnsi="Times New Roman" w:cs="Times New Roman"/>
          <w:sz w:val="24"/>
          <w:szCs w:val="24"/>
        </w:rPr>
        <w:t>雷贝拉</w:t>
      </w:r>
      <w:proofErr w:type="gramStart"/>
      <w:r w:rsidR="005A7ABC" w:rsidRPr="00120D73">
        <w:rPr>
          <w:rFonts w:ascii="Times New Roman" w:eastAsia="宋体" w:hAnsi="Times New Roman" w:cs="Times New Roman"/>
          <w:sz w:val="24"/>
          <w:szCs w:val="24"/>
        </w:rPr>
        <w:t>唑钠肠</w:t>
      </w:r>
      <w:proofErr w:type="gramEnd"/>
      <w:r w:rsidR="005A7ABC" w:rsidRPr="00120D73">
        <w:rPr>
          <w:rFonts w:ascii="Times New Roman" w:eastAsia="宋体" w:hAnsi="Times New Roman" w:cs="Times New Roman"/>
          <w:sz w:val="24"/>
          <w:szCs w:val="24"/>
        </w:rPr>
        <w:t>溶片</w:t>
      </w:r>
      <w:r w:rsidRPr="00120D73">
        <w:rPr>
          <w:rFonts w:ascii="Times New Roman" w:eastAsia="宋体" w:hAnsi="Times New Roman" w:cs="Times New Roman"/>
          <w:sz w:val="24"/>
          <w:szCs w:val="24"/>
        </w:rPr>
        <w:t>（规格</w:t>
      </w:r>
      <w:r w:rsidRPr="00120D73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A7ABC" w:rsidRPr="00120D73">
        <w:rPr>
          <w:rFonts w:ascii="Times New Roman" w:eastAsia="宋体" w:hAnsi="Times New Roman" w:cs="Times New Roman"/>
          <w:sz w:val="24"/>
          <w:szCs w:val="24"/>
        </w:rPr>
        <w:t>2</w:t>
      </w:r>
      <w:r w:rsidR="009C6FAA" w:rsidRPr="00120D73">
        <w:rPr>
          <w:rFonts w:ascii="Times New Roman" w:eastAsia="宋体" w:hAnsi="Times New Roman" w:cs="Times New Roman"/>
          <w:sz w:val="24"/>
          <w:szCs w:val="24"/>
        </w:rPr>
        <w:t>0</w:t>
      </w:r>
      <w:r w:rsidR="007B2BD8" w:rsidRPr="00120D73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120D73">
        <w:rPr>
          <w:rFonts w:ascii="Times New Roman" w:eastAsia="宋体" w:hAnsi="Times New Roman" w:cs="Times New Roman"/>
          <w:sz w:val="24"/>
          <w:szCs w:val="24"/>
        </w:rPr>
        <w:t>g</w:t>
      </w:r>
      <w:r w:rsidRPr="00120D73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120D73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20D73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44D61" w14:textId="77777777" w:rsidR="00A44AD4" w:rsidRDefault="00A44AD4" w:rsidP="00AE0A9F">
      <w:r>
        <w:separator/>
      </w:r>
    </w:p>
  </w:endnote>
  <w:endnote w:type="continuationSeparator" w:id="0">
    <w:p w14:paraId="148A53C2" w14:textId="77777777" w:rsidR="00A44AD4" w:rsidRDefault="00A44AD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112098A8" w14:textId="7C812730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81F59" w:rsidRPr="00B81F59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05243" w14:textId="77777777" w:rsidR="00A44AD4" w:rsidRDefault="00A44AD4" w:rsidP="00AE0A9F">
      <w:r>
        <w:separator/>
      </w:r>
    </w:p>
  </w:footnote>
  <w:footnote w:type="continuationSeparator" w:id="0">
    <w:p w14:paraId="7E81E97B" w14:textId="77777777" w:rsidR="00A44AD4" w:rsidRDefault="00A44AD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003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71923"/>
    <w:rsid w:val="00093BA2"/>
    <w:rsid w:val="000959D2"/>
    <w:rsid w:val="000A3D71"/>
    <w:rsid w:val="000B69B1"/>
    <w:rsid w:val="000C6A59"/>
    <w:rsid w:val="001011CD"/>
    <w:rsid w:val="00120D73"/>
    <w:rsid w:val="00135DC1"/>
    <w:rsid w:val="001539FF"/>
    <w:rsid w:val="0015671A"/>
    <w:rsid w:val="001666B7"/>
    <w:rsid w:val="001B7279"/>
    <w:rsid w:val="001E55CB"/>
    <w:rsid w:val="001E5C0D"/>
    <w:rsid w:val="001F0902"/>
    <w:rsid w:val="002605CE"/>
    <w:rsid w:val="002903D0"/>
    <w:rsid w:val="002A250D"/>
    <w:rsid w:val="002D6C2A"/>
    <w:rsid w:val="002E3309"/>
    <w:rsid w:val="0032432F"/>
    <w:rsid w:val="003750B3"/>
    <w:rsid w:val="003D73D2"/>
    <w:rsid w:val="003F2D28"/>
    <w:rsid w:val="003F44A4"/>
    <w:rsid w:val="00441F0D"/>
    <w:rsid w:val="004B4B91"/>
    <w:rsid w:val="004E13A5"/>
    <w:rsid w:val="00527E1B"/>
    <w:rsid w:val="00575564"/>
    <w:rsid w:val="005939A2"/>
    <w:rsid w:val="005A7ABC"/>
    <w:rsid w:val="005B4FA2"/>
    <w:rsid w:val="005B5EB6"/>
    <w:rsid w:val="005F2EFF"/>
    <w:rsid w:val="006030D9"/>
    <w:rsid w:val="006111C0"/>
    <w:rsid w:val="00614C06"/>
    <w:rsid w:val="006772DC"/>
    <w:rsid w:val="00677C8C"/>
    <w:rsid w:val="006D55C5"/>
    <w:rsid w:val="00705E55"/>
    <w:rsid w:val="00726918"/>
    <w:rsid w:val="00742846"/>
    <w:rsid w:val="00770545"/>
    <w:rsid w:val="007B2BD8"/>
    <w:rsid w:val="0080747D"/>
    <w:rsid w:val="00842032"/>
    <w:rsid w:val="00850921"/>
    <w:rsid w:val="008C685D"/>
    <w:rsid w:val="008E3118"/>
    <w:rsid w:val="008F5C16"/>
    <w:rsid w:val="0092680F"/>
    <w:rsid w:val="009433C2"/>
    <w:rsid w:val="009718E7"/>
    <w:rsid w:val="0099349E"/>
    <w:rsid w:val="009C6FAA"/>
    <w:rsid w:val="009F5577"/>
    <w:rsid w:val="00A44AD4"/>
    <w:rsid w:val="00A64BA0"/>
    <w:rsid w:val="00A82D52"/>
    <w:rsid w:val="00AC1CFC"/>
    <w:rsid w:val="00AC3225"/>
    <w:rsid w:val="00AD728E"/>
    <w:rsid w:val="00AE0A9F"/>
    <w:rsid w:val="00B06462"/>
    <w:rsid w:val="00B23D6D"/>
    <w:rsid w:val="00B77C2E"/>
    <w:rsid w:val="00B81F59"/>
    <w:rsid w:val="00BA336F"/>
    <w:rsid w:val="00BD3892"/>
    <w:rsid w:val="00C03C3F"/>
    <w:rsid w:val="00C13A25"/>
    <w:rsid w:val="00C246CA"/>
    <w:rsid w:val="00C83019"/>
    <w:rsid w:val="00CC320C"/>
    <w:rsid w:val="00CC611A"/>
    <w:rsid w:val="00D07B7E"/>
    <w:rsid w:val="00D75D3D"/>
    <w:rsid w:val="00DC030D"/>
    <w:rsid w:val="00DC5B31"/>
    <w:rsid w:val="00E03CAF"/>
    <w:rsid w:val="00E07363"/>
    <w:rsid w:val="00E50237"/>
    <w:rsid w:val="00E5702B"/>
    <w:rsid w:val="00E73FD3"/>
    <w:rsid w:val="00E859FC"/>
    <w:rsid w:val="00EA61FC"/>
    <w:rsid w:val="00EC12E8"/>
    <w:rsid w:val="00F62C34"/>
    <w:rsid w:val="00F868D6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25C1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165</Words>
  <Characters>945</Characters>
  <Application>Microsoft Office Word</Application>
  <DocSecurity>0</DocSecurity>
  <Lines>7</Lines>
  <Paragraphs>2</Paragraphs>
  <ScaleCrop>false</ScaleCrop>
  <Company>Microsoft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 Wang</cp:lastModifiedBy>
  <cp:revision>99</cp:revision>
  <dcterms:created xsi:type="dcterms:W3CDTF">2022-10-30T10:21:00Z</dcterms:created>
  <dcterms:modified xsi:type="dcterms:W3CDTF">2023-07-11T05:57:00Z</dcterms:modified>
</cp:coreProperties>
</file>