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E95D34" w:rsidRDefault="006B371B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E95D34">
        <w:rPr>
          <w:rFonts w:ascii="Times New Roman" w:eastAsia="微软雅黑" w:hAnsi="Times New Roman" w:cs="微软雅黑" w:hint="eastAsia"/>
          <w:sz w:val="36"/>
          <w:szCs w:val="30"/>
        </w:rPr>
        <w:t>一致性评价</w:t>
      </w:r>
      <w:r w:rsidR="00587924" w:rsidRPr="00E95D34">
        <w:rPr>
          <w:rFonts w:ascii="Times New Roman" w:eastAsia="微软雅黑" w:hAnsi="Times New Roman" w:cs="微软雅黑" w:hint="eastAsia"/>
          <w:sz w:val="36"/>
          <w:szCs w:val="30"/>
        </w:rPr>
        <w:t>企业研究报告及生物等效性试验数据</w:t>
      </w:r>
    </w:p>
    <w:p w:rsidR="006B371B" w:rsidRPr="00E95D34" w:rsidRDefault="00587924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E95D34">
        <w:rPr>
          <w:rFonts w:ascii="Times New Roman" w:eastAsia="微软雅黑" w:hAnsi="Times New Roman" w:cs="微软雅黑" w:hint="eastAsia"/>
          <w:sz w:val="36"/>
          <w:szCs w:val="30"/>
        </w:rPr>
        <w:t>信息公开</w:t>
      </w:r>
    </w:p>
    <w:p w:rsidR="008A03A5" w:rsidRPr="00E95D34" w:rsidRDefault="008A03A5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</w:p>
    <w:p w:rsidR="00825632" w:rsidRPr="00E95D34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E95D34">
        <w:rPr>
          <w:rFonts w:ascii="Times New Roman" w:hAnsi="Times New Roman" w:hint="eastAsia"/>
          <w:b/>
          <w:sz w:val="24"/>
          <w:szCs w:val="24"/>
        </w:rPr>
        <w:t>基本情况</w:t>
      </w:r>
      <w:r w:rsidR="00587924" w:rsidRPr="00E95D34">
        <w:rPr>
          <w:rFonts w:ascii="Times New Roman" w:hAnsi="Times New Roman" w:hint="eastAsia"/>
          <w:b/>
          <w:sz w:val="24"/>
          <w:szCs w:val="24"/>
        </w:rPr>
        <w:t>汇总</w:t>
      </w:r>
      <w:r w:rsidR="00587924" w:rsidRPr="00E95D34">
        <w:rPr>
          <w:rFonts w:ascii="Times New Roman" w:hAnsi="Times New Roman"/>
          <w:b/>
          <w:sz w:val="24"/>
          <w:szCs w:val="24"/>
        </w:rPr>
        <w:t>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E95D34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E95D34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E95D34" w:rsidRDefault="00423F7D" w:rsidP="00951E72">
            <w:pPr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奥</w:t>
            </w:r>
            <w:proofErr w:type="gramStart"/>
            <w:r w:rsidRPr="00E95D34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利司他</w:t>
            </w:r>
            <w:proofErr w:type="gramEnd"/>
            <w:r w:rsidRPr="00E95D34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胶囊</w:t>
            </w:r>
          </w:p>
        </w:tc>
      </w:tr>
      <w:tr w:rsidR="00B11091" w:rsidRPr="00E95D34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E95D34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E95D34" w:rsidRDefault="00423F7D" w:rsidP="00185C4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95D34">
              <w:rPr>
                <w:rFonts w:ascii="Times New Roman" w:eastAsia="宋体" w:hAnsi="Times New Roman" w:cs="Times New Roman"/>
                <w:color w:val="000000"/>
                <w:sz w:val="24"/>
                <w:szCs w:val="21"/>
              </w:rPr>
              <w:t>Orlistat</w:t>
            </w:r>
            <w:proofErr w:type="spellEnd"/>
            <w:r w:rsidRPr="00E95D34">
              <w:rPr>
                <w:rFonts w:ascii="Times New Roman" w:eastAsia="宋体" w:hAnsi="Times New Roman" w:cs="Times New Roman"/>
                <w:color w:val="000000"/>
                <w:sz w:val="24"/>
                <w:szCs w:val="21"/>
              </w:rPr>
              <w:t xml:space="preserve"> Capsules</w:t>
            </w:r>
          </w:p>
        </w:tc>
      </w:tr>
      <w:tr w:rsidR="00B11091" w:rsidRPr="00E95D34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E95D34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E95D34" w:rsidRDefault="00967ED1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胶囊剂</w:t>
            </w:r>
            <w:r w:rsidR="00F808FB" w:rsidRPr="00E95D34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423F7D" w:rsidRPr="00E95D34">
              <w:rPr>
                <w:rFonts w:ascii="Times New Roman" w:eastAsia="宋体" w:hAnsi="Times New Roman" w:cs="Times New Roman"/>
                <w:color w:val="000000"/>
                <w:sz w:val="24"/>
                <w:szCs w:val="21"/>
              </w:rPr>
              <w:t>60</w:t>
            </w:r>
            <w:r w:rsidR="00423F7D" w:rsidRPr="00E95D34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毫克</w:t>
            </w:r>
          </w:p>
        </w:tc>
      </w:tr>
      <w:tr w:rsidR="00B11091" w:rsidRPr="00E95D34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E95D34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E95D34" w:rsidRDefault="006A59F3" w:rsidP="00185C48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95D34">
              <w:rPr>
                <w:rFonts w:ascii="Times New Roman" w:hAnsi="Times New Roman" w:hint="eastAsia"/>
                <w:sz w:val="24"/>
                <w:szCs w:val="24"/>
              </w:rPr>
              <w:t>植恩生物技术</w:t>
            </w:r>
            <w:proofErr w:type="gramEnd"/>
            <w:r w:rsidRPr="00E95D34">
              <w:rPr>
                <w:rFonts w:ascii="Times New Roman" w:hAnsi="Times New Roman" w:hint="eastAsia"/>
                <w:sz w:val="24"/>
                <w:szCs w:val="24"/>
              </w:rPr>
              <w:t>股份有限公司</w:t>
            </w:r>
          </w:p>
        </w:tc>
      </w:tr>
      <w:tr w:rsidR="00B11091" w:rsidRPr="00E95D34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E95D34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E95D34" w:rsidRDefault="00C26962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重庆市九龙坡区高新大道</w:t>
            </w:r>
            <w:r w:rsidRPr="00E95D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28</w:t>
            </w:r>
            <w:r w:rsidRPr="00E95D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号金凤生物医药产业</w:t>
            </w:r>
            <w:proofErr w:type="gramStart"/>
            <w:r w:rsidRPr="00E95D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园标准</w:t>
            </w:r>
            <w:proofErr w:type="gramEnd"/>
            <w:r w:rsidRPr="00E95D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厂房</w:t>
            </w:r>
            <w:r w:rsidRPr="00E95D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1-6</w:t>
            </w:r>
            <w:r w:rsidRPr="00E95D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E95D34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E95D34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E95D34" w:rsidRDefault="006A59F3" w:rsidP="00185C48">
            <w:pPr>
              <w:rPr>
                <w:sz w:val="24"/>
                <w:lang w:val="zh-TW" w:bidi="sa-IN"/>
              </w:rPr>
            </w:pPr>
            <w:proofErr w:type="gramStart"/>
            <w:r w:rsidRPr="00E95D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植恩生物技术</w:t>
            </w:r>
            <w:proofErr w:type="gramEnd"/>
            <w:r w:rsidRPr="00E95D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股份有限公司</w:t>
            </w:r>
          </w:p>
        </w:tc>
      </w:tr>
      <w:tr w:rsidR="00B11091" w:rsidRPr="00E95D34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E95D34" w:rsidRDefault="008A03A5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最新</w:t>
            </w:r>
            <w:r w:rsidR="00B11091" w:rsidRPr="00E95D34">
              <w:rPr>
                <w:rFonts w:ascii="Times New Roman" w:hAnsi="Times New Roman" w:hint="eastAsia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E95D34" w:rsidRDefault="00C26962" w:rsidP="00F26423">
            <w:pPr>
              <w:rPr>
                <w:sz w:val="24"/>
                <w:lang w:val="zh-TW" w:bidi="sa-IN"/>
              </w:rPr>
            </w:pPr>
            <w:r w:rsidRPr="00E95D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95D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H20133171</w:t>
            </w:r>
          </w:p>
        </w:tc>
      </w:tr>
      <w:tr w:rsidR="00B11091" w:rsidRPr="00E95D34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E95D34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其它</w:t>
            </w:r>
            <w:r w:rsidR="00B11091" w:rsidRPr="00E95D34">
              <w:rPr>
                <w:rFonts w:ascii="Times New Roman" w:hAnsi="Times New Roman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E95D34" w:rsidRDefault="00EA1C5E" w:rsidP="00185C48">
            <w:pPr>
              <w:rPr>
                <w:sz w:val="24"/>
                <w:lang w:val="zh-TW" w:bidi="sa-IN"/>
              </w:rPr>
            </w:pPr>
            <w:r w:rsidRPr="00E95D34">
              <w:rPr>
                <w:rFonts w:hint="eastAsia"/>
                <w:sz w:val="24"/>
                <w:lang w:val="zh-TW" w:bidi="sa-IN"/>
              </w:rPr>
              <w:t>不适用</w:t>
            </w:r>
          </w:p>
        </w:tc>
      </w:tr>
      <w:tr w:rsidR="00B11091" w:rsidRPr="00E95D34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E95D34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B11091" w:rsidRPr="00E95D34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E95D34">
              <w:rPr>
                <w:rFonts w:ascii="Times New Roman" w:hAnsi="Times New Roman" w:hint="eastAsia"/>
                <w:sz w:val="24"/>
                <w:szCs w:val="24"/>
              </w:rPr>
              <w:t>有工艺变更</w:t>
            </w:r>
            <w:r w:rsidR="00B11091" w:rsidRPr="00E95D34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B11091" w:rsidRPr="00E95D34" w:rsidRDefault="00B11091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□无工艺变更</w:t>
            </w:r>
          </w:p>
          <w:p w:rsidR="00B11091" w:rsidRPr="00E95D34" w:rsidRDefault="00B11091" w:rsidP="00D65897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□其</w:t>
            </w:r>
            <w:r w:rsidR="00D65897" w:rsidRPr="00E95D34">
              <w:rPr>
                <w:rFonts w:ascii="Times New Roman" w:hAnsi="Times New Roman" w:hint="eastAsia"/>
                <w:sz w:val="24"/>
                <w:szCs w:val="24"/>
              </w:rPr>
              <w:t>它</w:t>
            </w:r>
          </w:p>
        </w:tc>
      </w:tr>
      <w:tr w:rsidR="00B11C80" w:rsidRPr="00E95D34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E95D34" w:rsidRDefault="007F3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="00B11C80" w:rsidRPr="00E95D34">
              <w:rPr>
                <w:rFonts w:ascii="Times New Roman" w:hAnsi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E95D34" w:rsidRDefault="009A4A14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eastAsia="宋体" w:hAnsi="Times New Roman" w:cs="Times New Roman"/>
                <w:color w:val="000000"/>
                <w:sz w:val="24"/>
                <w:szCs w:val="21"/>
              </w:rPr>
              <w:t>0120011</w:t>
            </w:r>
          </w:p>
        </w:tc>
      </w:tr>
      <w:tr w:rsidR="00B11C80" w:rsidRPr="00E95D34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E95D34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E95D34" w:rsidRDefault="00A74DA2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重庆市食品</w:t>
            </w:r>
            <w:r w:rsidRPr="00E95D34">
              <w:rPr>
                <w:rFonts w:ascii="Times New Roman" w:hAnsi="Times New Roman"/>
                <w:sz w:val="24"/>
                <w:szCs w:val="24"/>
              </w:rPr>
              <w:t>药品检验检测研究院</w:t>
            </w:r>
          </w:p>
        </w:tc>
      </w:tr>
      <w:tr w:rsidR="00B11C80" w:rsidRPr="00E95D34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E95D34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E95D34" w:rsidRDefault="002F2C5D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符合规定</w:t>
            </w:r>
          </w:p>
        </w:tc>
      </w:tr>
      <w:tr w:rsidR="00B11091" w:rsidRPr="00E95D34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E95D34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完成的临床研究</w:t>
            </w:r>
            <w:r w:rsidR="00B11091" w:rsidRPr="00E95D34">
              <w:rPr>
                <w:rFonts w:ascii="Times New Roman" w:hAnsi="Times New Roman" w:hint="eastAsia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B11091" w:rsidRPr="00E95D34" w:rsidRDefault="007100E8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B11091" w:rsidRPr="00E95D34">
              <w:rPr>
                <w:rFonts w:ascii="Times New Roman" w:hAnsi="Times New Roman" w:hint="eastAsia"/>
                <w:sz w:val="24"/>
                <w:szCs w:val="24"/>
              </w:rPr>
              <w:t>PK</w:t>
            </w:r>
            <w:r w:rsidR="00D65897" w:rsidRPr="00E95D34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B11091" w:rsidRPr="00E95D34" w:rsidRDefault="007100E8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E95D34">
              <w:rPr>
                <w:rFonts w:ascii="Times New Roman" w:hAnsi="Times New Roman" w:hint="eastAsia"/>
                <w:sz w:val="24"/>
                <w:szCs w:val="24"/>
              </w:rPr>
              <w:t>PD</w:t>
            </w:r>
            <w:r w:rsidR="00B11091" w:rsidRPr="00E95D34">
              <w:rPr>
                <w:rFonts w:ascii="Times New Roman" w:hAnsi="Times New Roman" w:hint="eastAsia"/>
                <w:sz w:val="24"/>
                <w:szCs w:val="24"/>
              </w:rPr>
              <w:t>终点生物等效性</w:t>
            </w:r>
            <w:r w:rsidR="00D65897" w:rsidRPr="00E95D34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  <w:p w:rsidR="00B11091" w:rsidRPr="00E95D34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D65897" w:rsidRPr="00E95D34">
              <w:rPr>
                <w:rFonts w:ascii="Times New Roman" w:hAnsi="Times New Roman" w:hint="eastAsia"/>
                <w:sz w:val="24"/>
                <w:szCs w:val="24"/>
              </w:rPr>
              <w:t>临床研究</w:t>
            </w:r>
          </w:p>
          <w:p w:rsidR="00B11091" w:rsidRPr="00E95D34" w:rsidRDefault="00D65897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□其它</w:t>
            </w:r>
          </w:p>
        </w:tc>
      </w:tr>
      <w:tr w:rsidR="00B11091" w:rsidRPr="00E95D34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E95D34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E95D34">
              <w:rPr>
                <w:rFonts w:ascii="Times New Roman" w:hAnsi="Times New Roman" w:hint="eastAsia"/>
                <w:sz w:val="24"/>
                <w:szCs w:val="24"/>
              </w:rPr>
              <w:t>备案号</w:t>
            </w:r>
            <w:r w:rsidRPr="00E95D34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E95D34">
              <w:rPr>
                <w:rFonts w:ascii="Times New Roman" w:hAnsi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E95D34" w:rsidRDefault="007100E8" w:rsidP="007100E8">
            <w:pPr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B</w:t>
            </w:r>
            <w:r w:rsidRPr="00E95D34">
              <w:rPr>
                <w:rFonts w:ascii="Times New Roman" w:eastAsia="宋体" w:hAnsi="Times New Roman" w:cs="Times New Roman"/>
                <w:color w:val="000000"/>
                <w:sz w:val="24"/>
                <w:szCs w:val="21"/>
              </w:rPr>
              <w:t>202100052-01</w:t>
            </w:r>
          </w:p>
        </w:tc>
      </w:tr>
      <w:tr w:rsidR="00B11091" w:rsidRPr="00E95D34" w:rsidTr="008A03A5">
        <w:trPr>
          <w:trHeight w:val="412"/>
          <w:jc w:val="center"/>
        </w:trPr>
        <w:tc>
          <w:tcPr>
            <w:tcW w:w="3491" w:type="dxa"/>
            <w:vAlign w:val="center"/>
          </w:tcPr>
          <w:p w:rsidR="00B11091" w:rsidRPr="00E95D34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="00B11091" w:rsidRPr="00E95D34">
              <w:rPr>
                <w:rFonts w:ascii="Times New Roman" w:hAnsi="Times New Roman" w:hint="eastAsia"/>
                <w:sz w:val="24"/>
                <w:szCs w:val="24"/>
              </w:rPr>
              <w:t>研究机构</w:t>
            </w:r>
          </w:p>
        </w:tc>
        <w:tc>
          <w:tcPr>
            <w:tcW w:w="5843" w:type="dxa"/>
            <w:vAlign w:val="center"/>
          </w:tcPr>
          <w:p w:rsidR="00B11091" w:rsidRPr="00E95D34" w:rsidRDefault="00B775E3" w:rsidP="00B775E3">
            <w:pPr>
              <w:rPr>
                <w:sz w:val="24"/>
                <w:lang w:val="zh-TW" w:bidi="sa-IN"/>
              </w:rPr>
            </w:pPr>
            <w:r w:rsidRPr="00E95D34">
              <w:rPr>
                <w:rFonts w:hint="eastAsia"/>
                <w:sz w:val="24"/>
                <w:lang w:val="zh-TW" w:bidi="sa-IN"/>
              </w:rPr>
              <w:t>重庆市第十一人民医院</w:t>
            </w:r>
          </w:p>
        </w:tc>
      </w:tr>
      <w:tr w:rsidR="00B11091" w:rsidRPr="00E95D34" w:rsidTr="00DE2F8D">
        <w:trPr>
          <w:trHeight w:val="389"/>
          <w:jc w:val="center"/>
        </w:trPr>
        <w:tc>
          <w:tcPr>
            <w:tcW w:w="3491" w:type="dxa"/>
            <w:vAlign w:val="center"/>
          </w:tcPr>
          <w:p w:rsidR="00B11091" w:rsidRPr="00E95D34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数据</w:t>
            </w:r>
            <w:r w:rsidR="00B11091" w:rsidRPr="00E95D34">
              <w:rPr>
                <w:rFonts w:ascii="Times New Roman" w:hAnsi="Times New Roman" w:hint="eastAsia"/>
                <w:sz w:val="24"/>
                <w:szCs w:val="24"/>
              </w:rPr>
              <w:t>统计</w:t>
            </w:r>
            <w:r w:rsidRPr="00E95D34">
              <w:rPr>
                <w:rFonts w:ascii="Times New Roman" w:hAnsi="Times New Roman" w:hint="eastAsia"/>
                <w:sz w:val="24"/>
                <w:szCs w:val="24"/>
              </w:rPr>
              <w:t>分析</w:t>
            </w:r>
            <w:r w:rsidR="00B11091" w:rsidRPr="00E95D34">
              <w:rPr>
                <w:rFonts w:ascii="Times New Roman" w:hAnsi="Times New Roman" w:hint="eastAsia"/>
                <w:sz w:val="24"/>
                <w:szCs w:val="24"/>
              </w:rPr>
              <w:t>机构</w:t>
            </w:r>
          </w:p>
        </w:tc>
        <w:tc>
          <w:tcPr>
            <w:tcW w:w="5843" w:type="dxa"/>
            <w:vAlign w:val="center"/>
          </w:tcPr>
          <w:p w:rsidR="00B11091" w:rsidRPr="00E95D34" w:rsidRDefault="00B775E3" w:rsidP="00B775E3">
            <w:pPr>
              <w:rPr>
                <w:sz w:val="24"/>
                <w:lang w:val="zh-TW" w:bidi="sa-IN"/>
              </w:rPr>
            </w:pPr>
            <w:r w:rsidRPr="00E95D34">
              <w:rPr>
                <w:rFonts w:hint="eastAsia"/>
                <w:sz w:val="24"/>
                <w:lang w:val="zh-TW" w:bidi="sa-IN"/>
              </w:rPr>
              <w:t>广州静远医药研究有限公司</w:t>
            </w:r>
          </w:p>
        </w:tc>
      </w:tr>
      <w:tr w:rsidR="00B11091" w:rsidRPr="00E95D34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B11091" w:rsidRPr="00E95D34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生物样本</w:t>
            </w:r>
            <w:r w:rsidR="00B11091" w:rsidRPr="00E95D34">
              <w:rPr>
                <w:rFonts w:ascii="Times New Roman" w:hAnsi="Times New Roman" w:hint="eastAsia"/>
                <w:sz w:val="24"/>
                <w:szCs w:val="24"/>
              </w:rPr>
              <w:t>检测机构</w:t>
            </w:r>
          </w:p>
        </w:tc>
        <w:tc>
          <w:tcPr>
            <w:tcW w:w="5843" w:type="dxa"/>
            <w:vAlign w:val="center"/>
          </w:tcPr>
          <w:p w:rsidR="00B11091" w:rsidRPr="00E95D34" w:rsidRDefault="00B775E3" w:rsidP="00B775E3">
            <w:pPr>
              <w:rPr>
                <w:sz w:val="24"/>
                <w:lang w:val="zh-TW" w:bidi="sa-IN"/>
              </w:rPr>
            </w:pPr>
            <w:bookmarkStart w:id="0" w:name="_Hlk54875895"/>
            <w:r w:rsidRPr="00E95D34">
              <w:rPr>
                <w:rFonts w:hint="eastAsia"/>
                <w:sz w:val="24"/>
                <w:lang w:val="zh-TW" w:bidi="sa-IN"/>
              </w:rPr>
              <w:t>重庆柳江医药科技有限公司</w:t>
            </w:r>
            <w:bookmarkEnd w:id="0"/>
          </w:p>
        </w:tc>
      </w:tr>
      <w:tr w:rsidR="00635EF5" w:rsidRPr="00E95D34" w:rsidTr="008A03A5">
        <w:trPr>
          <w:trHeight w:val="406"/>
          <w:jc w:val="center"/>
        </w:trPr>
        <w:tc>
          <w:tcPr>
            <w:tcW w:w="3491" w:type="dxa"/>
            <w:vAlign w:val="center"/>
          </w:tcPr>
          <w:p w:rsidR="00635EF5" w:rsidRPr="00E95D34" w:rsidRDefault="008134A0" w:rsidP="008134A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676B95" w:rsidRPr="00E95D34" w:rsidRDefault="005A0706" w:rsidP="005A0706">
            <w:pPr>
              <w:rPr>
                <w:rFonts w:ascii="Times New Roman" w:eastAsia="宋体" w:hAnsi="Times New Roman" w:cs="Times New Roman"/>
                <w:color w:val="000000"/>
                <w:sz w:val="24"/>
                <w:szCs w:val="21"/>
              </w:rPr>
            </w:pPr>
            <w:r w:rsidRPr="00E95D34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单中心、随机、开放、多次给药、三周期、交叉设计</w:t>
            </w:r>
          </w:p>
        </w:tc>
      </w:tr>
      <w:tr w:rsidR="008134A0" w:rsidRPr="00E95D34" w:rsidTr="008A03A5">
        <w:trPr>
          <w:trHeight w:val="515"/>
          <w:jc w:val="center"/>
        </w:trPr>
        <w:tc>
          <w:tcPr>
            <w:tcW w:w="3491" w:type="dxa"/>
            <w:vAlign w:val="center"/>
          </w:tcPr>
          <w:p w:rsidR="008134A0" w:rsidRPr="00E95D34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8134A0" w:rsidRPr="00E95D34" w:rsidRDefault="005A0706" w:rsidP="00F2642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95D34">
              <w:rPr>
                <w:rFonts w:ascii="Times New Roman" w:eastAsiaTheme="minorEastAsia" w:hAnsi="Times New Roman" w:hint="eastAsia"/>
                <w:sz w:val="24"/>
                <w:szCs w:val="24"/>
              </w:rPr>
              <w:t>脂肪</w:t>
            </w:r>
          </w:p>
        </w:tc>
      </w:tr>
      <w:tr w:rsidR="0066279A" w:rsidRPr="00E95D34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66279A" w:rsidRPr="00E95D34" w:rsidRDefault="0066279A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66279A" w:rsidRPr="00E95D34" w:rsidRDefault="00D72EC5" w:rsidP="00F26423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95D34">
              <w:rPr>
                <w:rFonts w:ascii="Times New Roman" w:eastAsiaTheme="minorEastAsia" w:hAnsi="Times New Roman" w:hint="eastAsia"/>
                <w:sz w:val="24"/>
                <w:szCs w:val="24"/>
              </w:rPr>
              <w:t>重量法</w:t>
            </w:r>
          </w:p>
        </w:tc>
      </w:tr>
      <w:tr w:rsidR="00505583" w:rsidRPr="00E95D34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505583" w:rsidRPr="00E95D34" w:rsidRDefault="00587924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Pr="00E95D34">
              <w:rPr>
                <w:rFonts w:ascii="Times New Roman" w:hAnsi="Times New Roman"/>
                <w:sz w:val="24"/>
                <w:szCs w:val="24"/>
              </w:rPr>
              <w:t>研究</w:t>
            </w:r>
            <w:r w:rsidRPr="00E95D34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E95D34">
              <w:rPr>
                <w:rFonts w:ascii="Times New Roman" w:hAnsi="Times New Roman"/>
                <w:sz w:val="24"/>
                <w:szCs w:val="24"/>
              </w:rPr>
              <w:t>情况</w:t>
            </w:r>
          </w:p>
        </w:tc>
        <w:tc>
          <w:tcPr>
            <w:tcW w:w="5843" w:type="dxa"/>
            <w:vAlign w:val="center"/>
          </w:tcPr>
          <w:p w:rsidR="00505583" w:rsidRPr="00E95D34" w:rsidRDefault="005A0706" w:rsidP="00CA471F">
            <w:pPr>
              <w:rPr>
                <w:rFonts w:ascii="Times New Roman" w:hAnsi="Times New Roman"/>
                <w:sz w:val="24"/>
                <w:szCs w:val="24"/>
              </w:rPr>
            </w:pPr>
            <w:r w:rsidRPr="00E95D34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E95D34">
              <w:rPr>
                <w:rFonts w:ascii="Times New Roman" w:hAnsi="Times New Roman" w:hint="eastAsia"/>
                <w:sz w:val="24"/>
                <w:szCs w:val="24"/>
              </w:rPr>
              <w:t>120</w:t>
            </w:r>
            <w:r w:rsidRPr="00E95D34">
              <w:rPr>
                <w:rFonts w:ascii="Times New Roman" w:hAnsi="Times New Roman"/>
                <w:sz w:val="24"/>
                <w:szCs w:val="24"/>
              </w:rPr>
              <w:t>mgBE</w:t>
            </w:r>
            <w:r w:rsidRPr="00E95D34">
              <w:rPr>
                <w:rFonts w:ascii="Times New Roman" w:hAnsi="Times New Roman" w:hint="eastAsia"/>
                <w:sz w:val="24"/>
                <w:szCs w:val="24"/>
              </w:rPr>
              <w:t>研究</w:t>
            </w:r>
            <w:bookmarkStart w:id="1" w:name="_GoBack"/>
            <w:bookmarkEnd w:id="1"/>
          </w:p>
        </w:tc>
      </w:tr>
    </w:tbl>
    <w:p w:rsidR="00B11091" w:rsidRPr="00E95D34" w:rsidRDefault="00825632" w:rsidP="00587924">
      <w:pPr>
        <w:spacing w:line="360" w:lineRule="auto"/>
        <w:rPr>
          <w:rFonts w:ascii="Times New Roman" w:hAnsi="Times New Roman"/>
          <w:sz w:val="24"/>
          <w:szCs w:val="24"/>
        </w:rPr>
      </w:pPr>
      <w:r w:rsidRPr="00E95D34">
        <w:rPr>
          <w:rFonts w:ascii="Times New Roman" w:hAnsi="Times New Roman" w:hint="eastAsia"/>
          <w:b/>
          <w:sz w:val="24"/>
          <w:szCs w:val="24"/>
        </w:rPr>
        <w:lastRenderedPageBreak/>
        <w:t>2.</w:t>
      </w:r>
      <w:r w:rsidRPr="00E95D34">
        <w:rPr>
          <w:rFonts w:ascii="Times New Roman" w:hAnsi="Times New Roman" w:hint="eastAsia"/>
          <w:b/>
          <w:sz w:val="24"/>
          <w:szCs w:val="24"/>
        </w:rPr>
        <w:t>生物等效性</w:t>
      </w:r>
      <w:r w:rsidR="005D604A" w:rsidRPr="00E95D34">
        <w:rPr>
          <w:rFonts w:ascii="Times New Roman" w:hAnsi="Times New Roman" w:hint="eastAsia"/>
          <w:b/>
          <w:sz w:val="24"/>
          <w:szCs w:val="24"/>
        </w:rPr>
        <w:t>研究</w:t>
      </w:r>
      <w:r w:rsidR="00B11091" w:rsidRPr="00E95D34">
        <w:rPr>
          <w:rFonts w:ascii="Times New Roman" w:hAnsi="Times New Roman" w:hint="eastAsia"/>
          <w:b/>
          <w:sz w:val="24"/>
          <w:szCs w:val="24"/>
        </w:rPr>
        <w:t>结果</w:t>
      </w:r>
      <w:r w:rsidR="00587924" w:rsidRPr="00E95D34">
        <w:rPr>
          <w:rFonts w:ascii="Times New Roman" w:hAnsi="Times New Roman" w:hint="eastAsia"/>
          <w:sz w:val="24"/>
          <w:szCs w:val="24"/>
        </w:rPr>
        <w:t>（</w:t>
      </w:r>
      <w:r w:rsidR="005A0706" w:rsidRPr="00E95D34">
        <w:rPr>
          <w:rFonts w:ascii="Times New Roman" w:hAnsi="Times New Roman"/>
          <w:sz w:val="24"/>
          <w:szCs w:val="24"/>
        </w:rPr>
        <w:t>60m</w:t>
      </w:r>
      <w:r w:rsidR="006E68C9" w:rsidRPr="00E95D34">
        <w:rPr>
          <w:rFonts w:ascii="Times New Roman" w:hAnsi="Times New Roman" w:hint="eastAsia"/>
          <w:sz w:val="24"/>
          <w:szCs w:val="24"/>
        </w:rPr>
        <w:t>g</w:t>
      </w:r>
      <w:r w:rsidR="006E68C9" w:rsidRPr="00E95D34">
        <w:rPr>
          <w:rFonts w:ascii="Times New Roman" w:hAnsi="Times New Roman" w:hint="eastAsia"/>
          <w:sz w:val="24"/>
          <w:szCs w:val="24"/>
        </w:rPr>
        <w:t>规格</w:t>
      </w:r>
      <w:r w:rsidR="00587924" w:rsidRPr="00E95D34">
        <w:rPr>
          <w:rFonts w:ascii="Times New Roman" w:hAnsi="Times New Roman" w:hint="eastAsia"/>
          <w:sz w:val="24"/>
          <w:szCs w:val="24"/>
        </w:rPr>
        <w:t>）</w:t>
      </w:r>
    </w:p>
    <w:p w:rsidR="00B5278A" w:rsidRPr="00E95D34" w:rsidRDefault="00B5278A" w:rsidP="00B5278A">
      <w:pPr>
        <w:pStyle w:val="af"/>
        <w:jc w:val="center"/>
        <w:rPr>
          <w:rFonts w:ascii="Times New Roman" w:eastAsia="宋体" w:hAnsi="Times New Roman"/>
          <w:b/>
          <w:bCs/>
          <w:sz w:val="21"/>
          <w:szCs w:val="24"/>
        </w:rPr>
      </w:pPr>
      <w:bookmarkStart w:id="2" w:name="_Toc92353533"/>
      <w:r w:rsidRPr="00E95D34">
        <w:rPr>
          <w:rFonts w:ascii="Times New Roman" w:eastAsia="宋体" w:hAnsi="Times New Roman"/>
          <w:b/>
          <w:sz w:val="21"/>
        </w:rPr>
        <w:t>F</w:t>
      </w:r>
      <w:r w:rsidRPr="00E95D34">
        <w:rPr>
          <w:rFonts w:ascii="Times New Roman" w:eastAsia="宋体" w:hAnsi="Times New Roman"/>
          <w:b/>
          <w:sz w:val="21"/>
        </w:rPr>
        <w:t>值及其</w:t>
      </w:r>
      <w:r w:rsidRPr="00E95D34">
        <w:rPr>
          <w:rFonts w:ascii="Times New Roman" w:eastAsia="宋体" w:hAnsi="Times New Roman"/>
          <w:b/>
          <w:sz w:val="21"/>
        </w:rPr>
        <w:t>90%</w:t>
      </w:r>
      <w:r w:rsidRPr="00E95D34">
        <w:rPr>
          <w:rFonts w:ascii="Times New Roman" w:eastAsia="宋体" w:hAnsi="Times New Roman"/>
          <w:b/>
          <w:sz w:val="21"/>
        </w:rPr>
        <w:t>的置信区间</w:t>
      </w:r>
      <w:bookmarkEnd w:id="2"/>
    </w:p>
    <w:tbl>
      <w:tblPr>
        <w:tblW w:w="5000" w:type="pct"/>
        <w:tblLook w:val="04A0" w:firstRow="1" w:lastRow="0" w:firstColumn="1" w:lastColumn="0" w:noHBand="0" w:noVBand="1"/>
      </w:tblPr>
      <w:tblGrid>
        <w:gridCol w:w="1661"/>
        <w:gridCol w:w="1779"/>
        <w:gridCol w:w="1543"/>
        <w:gridCol w:w="1663"/>
        <w:gridCol w:w="1660"/>
      </w:tblGrid>
      <w:tr w:rsidR="00B5278A" w:rsidRPr="00E95D34" w:rsidTr="004D2146">
        <w:trPr>
          <w:trHeight w:val="276"/>
        </w:trPr>
        <w:tc>
          <w:tcPr>
            <w:tcW w:w="1000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78A" w:rsidRPr="00E95D34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95D34">
              <w:rPr>
                <w:rFonts w:ascii="Times New Roman" w:eastAsia="宋体" w:hAnsi="Times New Roman"/>
                <w:szCs w:val="21"/>
              </w:rPr>
              <w:t>F</w:t>
            </w:r>
            <w:r w:rsidRPr="00E95D34">
              <w:rPr>
                <w:rFonts w:ascii="Times New Roman" w:eastAsia="宋体" w:hAnsi="Times New Roman" w:hint="eastAsia"/>
                <w:szCs w:val="21"/>
              </w:rPr>
              <w:t>估计</w:t>
            </w:r>
            <w:r w:rsidRPr="00E95D34">
              <w:rPr>
                <w:rFonts w:ascii="Times New Roman" w:eastAsia="宋体" w:hAnsi="Times New Roman"/>
                <w:szCs w:val="21"/>
              </w:rPr>
              <w:t>值（</w:t>
            </w:r>
            <w:r w:rsidRPr="00E95D34">
              <w:rPr>
                <w:rFonts w:ascii="Times New Roman" w:eastAsia="宋体" w:hAnsi="Times New Roman"/>
                <w:szCs w:val="21"/>
              </w:rPr>
              <w:t>%</w:t>
            </w:r>
            <w:r w:rsidRPr="00E95D34">
              <w:rPr>
                <w:rFonts w:ascii="Times New Roman" w:eastAsia="宋体" w:hAnsi="Times New Roman"/>
                <w:szCs w:val="21"/>
              </w:rPr>
              <w:t>）</w:t>
            </w:r>
          </w:p>
        </w:tc>
        <w:tc>
          <w:tcPr>
            <w:tcW w:w="2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78A" w:rsidRPr="00E95D34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95D34">
              <w:rPr>
                <w:rFonts w:ascii="Times New Roman" w:eastAsia="宋体" w:hAnsi="Times New Roman"/>
                <w:szCs w:val="21"/>
              </w:rPr>
              <w:t>90%</w:t>
            </w:r>
            <w:r w:rsidRPr="00E95D34">
              <w:rPr>
                <w:rFonts w:ascii="Times New Roman" w:eastAsia="宋体" w:hAnsi="Times New Roman"/>
                <w:szCs w:val="21"/>
              </w:rPr>
              <w:t>置信区间</w:t>
            </w:r>
            <w:r w:rsidRPr="00E95D34">
              <w:rPr>
                <w:rFonts w:ascii="Times New Roman" w:eastAsia="宋体" w:hAnsi="Times New Roman"/>
                <w:szCs w:val="21"/>
              </w:rPr>
              <w:t>(</w:t>
            </w:r>
            <w:r w:rsidRPr="00E95D34">
              <w:rPr>
                <w:rFonts w:ascii="Times New Roman" w:eastAsia="宋体" w:hAnsi="Times New Roman"/>
                <w:szCs w:val="21"/>
              </w:rPr>
              <w:t>正态法</w:t>
            </w:r>
            <w:r w:rsidRPr="00E95D34">
              <w:rPr>
                <w:rFonts w:ascii="Times New Roman" w:eastAsia="宋体" w:hAnsi="Times New Roman"/>
                <w:szCs w:val="21"/>
              </w:rPr>
              <w:t>)</w:t>
            </w:r>
          </w:p>
        </w:tc>
        <w:tc>
          <w:tcPr>
            <w:tcW w:w="2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78A" w:rsidRPr="00E95D34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95D34">
              <w:rPr>
                <w:rFonts w:ascii="Times New Roman" w:eastAsia="宋体" w:hAnsi="Times New Roman"/>
                <w:szCs w:val="21"/>
              </w:rPr>
              <w:t>90%</w:t>
            </w:r>
            <w:r w:rsidRPr="00E95D34">
              <w:rPr>
                <w:rFonts w:ascii="Times New Roman" w:eastAsia="宋体" w:hAnsi="Times New Roman"/>
                <w:szCs w:val="21"/>
              </w:rPr>
              <w:t>置信区间</w:t>
            </w:r>
            <w:r w:rsidRPr="00E95D34">
              <w:rPr>
                <w:rFonts w:ascii="Times New Roman" w:eastAsia="宋体" w:hAnsi="Times New Roman"/>
                <w:szCs w:val="21"/>
              </w:rPr>
              <w:t>(</w:t>
            </w:r>
            <w:proofErr w:type="spellStart"/>
            <w:r w:rsidRPr="00E95D34">
              <w:rPr>
                <w:rFonts w:ascii="Times New Roman" w:eastAsia="宋体" w:hAnsi="Times New Roman"/>
                <w:szCs w:val="21"/>
              </w:rPr>
              <w:t>BCa</w:t>
            </w:r>
            <w:proofErr w:type="spellEnd"/>
            <w:r w:rsidRPr="00E95D34">
              <w:rPr>
                <w:rFonts w:ascii="Times New Roman" w:eastAsia="宋体" w:hAnsi="Times New Roman"/>
                <w:szCs w:val="21"/>
              </w:rPr>
              <w:t>法</w:t>
            </w:r>
            <w:r w:rsidRPr="00E95D34">
              <w:rPr>
                <w:rFonts w:ascii="Times New Roman" w:eastAsia="宋体" w:hAnsi="Times New Roman"/>
                <w:szCs w:val="21"/>
              </w:rPr>
              <w:t>)</w:t>
            </w:r>
          </w:p>
        </w:tc>
      </w:tr>
      <w:tr w:rsidR="00B5278A" w:rsidRPr="00E95D34" w:rsidTr="004D2146">
        <w:trPr>
          <w:trHeight w:val="276"/>
        </w:trPr>
        <w:tc>
          <w:tcPr>
            <w:tcW w:w="1000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5278A" w:rsidRPr="00E95D34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0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78A" w:rsidRPr="00E95D34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95D34">
              <w:rPr>
                <w:rFonts w:ascii="Times New Roman" w:eastAsia="宋体" w:hAnsi="Times New Roman"/>
                <w:szCs w:val="21"/>
              </w:rPr>
              <w:t>下限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78A" w:rsidRPr="00E95D34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95D34">
              <w:rPr>
                <w:rFonts w:ascii="Times New Roman" w:eastAsia="宋体" w:hAnsi="Times New Roman"/>
                <w:szCs w:val="21"/>
              </w:rPr>
              <w:t>上限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78A" w:rsidRPr="00E95D34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95D34">
              <w:rPr>
                <w:rFonts w:ascii="Times New Roman" w:eastAsia="宋体" w:hAnsi="Times New Roman"/>
                <w:szCs w:val="21"/>
              </w:rPr>
              <w:t>下限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278A" w:rsidRPr="00E95D34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95D34">
              <w:rPr>
                <w:rFonts w:ascii="Times New Roman" w:eastAsia="宋体" w:hAnsi="Times New Roman"/>
                <w:szCs w:val="21"/>
              </w:rPr>
              <w:t>上限</w:t>
            </w:r>
          </w:p>
        </w:tc>
      </w:tr>
      <w:tr w:rsidR="00B5278A" w:rsidRPr="00E95D34" w:rsidTr="004D2146">
        <w:trPr>
          <w:trHeight w:val="276"/>
        </w:trPr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5278A" w:rsidRPr="00E95D34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95D34">
              <w:rPr>
                <w:rFonts w:ascii="Times New Roman" w:eastAsia="宋体" w:hAnsi="Times New Roman"/>
                <w:color w:val="000000"/>
                <w:szCs w:val="21"/>
              </w:rPr>
              <w:t>103.45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</w:tcPr>
          <w:p w:rsidR="00B5278A" w:rsidRPr="00E95D34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95D34">
              <w:rPr>
                <w:rFonts w:ascii="Times New Roman" w:eastAsia="宋体" w:hAnsi="Times New Roman"/>
                <w:color w:val="000000"/>
                <w:szCs w:val="21"/>
              </w:rPr>
              <w:t>91.95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</w:tcPr>
          <w:p w:rsidR="00B5278A" w:rsidRPr="00E95D34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95D34">
              <w:rPr>
                <w:rFonts w:ascii="Times New Roman" w:eastAsia="宋体" w:hAnsi="Times New Roman"/>
                <w:color w:val="000000"/>
                <w:szCs w:val="21"/>
              </w:rPr>
              <w:t>114.49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</w:tcPr>
          <w:p w:rsidR="00B5278A" w:rsidRPr="00E95D34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95D34">
              <w:rPr>
                <w:rFonts w:ascii="Times New Roman" w:eastAsia="宋体" w:hAnsi="Times New Roman"/>
                <w:color w:val="000000"/>
                <w:szCs w:val="21"/>
              </w:rPr>
              <w:t>92.66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</w:tcPr>
          <w:p w:rsidR="00B5278A" w:rsidRPr="00E95D34" w:rsidRDefault="00B5278A" w:rsidP="004D2146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95D34">
              <w:rPr>
                <w:rFonts w:ascii="Times New Roman" w:eastAsia="宋体" w:hAnsi="Times New Roman"/>
                <w:color w:val="000000"/>
                <w:szCs w:val="21"/>
              </w:rPr>
              <w:t>115.14</w:t>
            </w:r>
          </w:p>
        </w:tc>
      </w:tr>
    </w:tbl>
    <w:p w:rsidR="00B5278A" w:rsidRPr="00E95D34" w:rsidRDefault="00B5278A" w:rsidP="00B5278A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</w:p>
    <w:p w:rsidR="00B11091" w:rsidRPr="00E95D34" w:rsidRDefault="00825632" w:rsidP="00635EF5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E95D34">
        <w:rPr>
          <w:rFonts w:ascii="Times New Roman" w:hAnsi="Times New Roman" w:hint="eastAsia"/>
          <w:b/>
          <w:sz w:val="24"/>
          <w:szCs w:val="24"/>
        </w:rPr>
        <w:t>3.</w:t>
      </w:r>
      <w:r w:rsidRPr="00E95D34">
        <w:rPr>
          <w:rFonts w:ascii="Times New Roman" w:hAnsi="Times New Roman" w:hint="eastAsia"/>
          <w:b/>
          <w:sz w:val="24"/>
          <w:szCs w:val="24"/>
        </w:rPr>
        <w:t>审评结论</w:t>
      </w:r>
    </w:p>
    <w:p w:rsidR="00825632" w:rsidRPr="00427F2E" w:rsidRDefault="009B4436" w:rsidP="00CA471F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  <w:proofErr w:type="gramStart"/>
      <w:r w:rsidRPr="00E95D34">
        <w:rPr>
          <w:rFonts w:ascii="Times New Roman" w:hAnsi="Times New Roman" w:hint="eastAsia"/>
          <w:sz w:val="24"/>
          <w:szCs w:val="24"/>
        </w:rPr>
        <w:t>植恩生物技术</w:t>
      </w:r>
      <w:proofErr w:type="gramEnd"/>
      <w:r w:rsidRPr="00E95D34">
        <w:rPr>
          <w:rFonts w:ascii="Times New Roman" w:hAnsi="Times New Roman" w:hint="eastAsia"/>
          <w:sz w:val="24"/>
          <w:szCs w:val="24"/>
        </w:rPr>
        <w:t>股份有限公司</w:t>
      </w:r>
      <w:r w:rsidR="007F1374" w:rsidRPr="00E95D34">
        <w:rPr>
          <w:rFonts w:ascii="Times New Roman" w:hAnsi="Times New Roman" w:hint="eastAsia"/>
          <w:sz w:val="24"/>
          <w:szCs w:val="24"/>
        </w:rPr>
        <w:t>生产的</w:t>
      </w:r>
      <w:r w:rsidRPr="00E95D34">
        <w:rPr>
          <w:rFonts w:ascii="Times New Roman" w:hAnsi="Times New Roman" w:hint="eastAsia"/>
          <w:sz w:val="24"/>
          <w:szCs w:val="24"/>
        </w:rPr>
        <w:t>奥</w:t>
      </w:r>
      <w:proofErr w:type="gramStart"/>
      <w:r w:rsidRPr="00E95D34">
        <w:rPr>
          <w:rFonts w:ascii="Times New Roman" w:hAnsi="Times New Roman" w:hint="eastAsia"/>
          <w:sz w:val="24"/>
          <w:szCs w:val="24"/>
        </w:rPr>
        <w:t>利司他</w:t>
      </w:r>
      <w:proofErr w:type="gramEnd"/>
      <w:r w:rsidR="00F26423" w:rsidRPr="00E95D34">
        <w:rPr>
          <w:rFonts w:ascii="Times New Roman" w:hAnsi="Times New Roman" w:hint="eastAsia"/>
          <w:sz w:val="24"/>
          <w:szCs w:val="24"/>
        </w:rPr>
        <w:t>胶囊</w:t>
      </w:r>
      <w:r w:rsidR="00E02597" w:rsidRPr="00E95D34">
        <w:rPr>
          <w:rFonts w:ascii="Times New Roman" w:hAnsi="Times New Roman" w:hint="eastAsia"/>
          <w:sz w:val="24"/>
          <w:szCs w:val="24"/>
        </w:rPr>
        <w:t>通过</w:t>
      </w:r>
      <w:r w:rsidR="00825632" w:rsidRPr="00E95D34">
        <w:rPr>
          <w:rFonts w:ascii="Times New Roman" w:hAnsi="Times New Roman" w:hint="eastAsia"/>
          <w:sz w:val="24"/>
          <w:szCs w:val="24"/>
        </w:rPr>
        <w:t>仿制药质量与疗效一致性评价。</w:t>
      </w:r>
    </w:p>
    <w:sectPr w:rsidR="00825632" w:rsidRPr="00427F2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07C" w:rsidRDefault="0063307C" w:rsidP="00D45C81">
      <w:r>
        <w:separator/>
      </w:r>
    </w:p>
  </w:endnote>
  <w:endnote w:type="continuationSeparator" w:id="0">
    <w:p w:rsidR="0063307C" w:rsidRDefault="0063307C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95D34" w:rsidRPr="00E95D3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07C" w:rsidRDefault="0063307C" w:rsidP="00D45C81">
      <w:r>
        <w:separator/>
      </w:r>
    </w:p>
  </w:footnote>
  <w:footnote w:type="continuationSeparator" w:id="0">
    <w:p w:rsidR="0063307C" w:rsidRDefault="0063307C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54C"/>
    <w:rsid w:val="00002870"/>
    <w:rsid w:val="00002F84"/>
    <w:rsid w:val="00017BF7"/>
    <w:rsid w:val="00021EB0"/>
    <w:rsid w:val="000237DE"/>
    <w:rsid w:val="000259AC"/>
    <w:rsid w:val="00025D61"/>
    <w:rsid w:val="00051AAE"/>
    <w:rsid w:val="00052A6C"/>
    <w:rsid w:val="000566B2"/>
    <w:rsid w:val="00056948"/>
    <w:rsid w:val="00057A00"/>
    <w:rsid w:val="00066740"/>
    <w:rsid w:val="000676B7"/>
    <w:rsid w:val="00067BA5"/>
    <w:rsid w:val="000826CB"/>
    <w:rsid w:val="00086BAF"/>
    <w:rsid w:val="00087468"/>
    <w:rsid w:val="00093E39"/>
    <w:rsid w:val="000A05F8"/>
    <w:rsid w:val="000A64C5"/>
    <w:rsid w:val="000A6D15"/>
    <w:rsid w:val="000B7EF9"/>
    <w:rsid w:val="000C2394"/>
    <w:rsid w:val="000C2492"/>
    <w:rsid w:val="000C344B"/>
    <w:rsid w:val="000D1A23"/>
    <w:rsid w:val="000D2E0E"/>
    <w:rsid w:val="000E4063"/>
    <w:rsid w:val="000F7095"/>
    <w:rsid w:val="00100620"/>
    <w:rsid w:val="001136E7"/>
    <w:rsid w:val="00117F5E"/>
    <w:rsid w:val="00130DB7"/>
    <w:rsid w:val="001378A9"/>
    <w:rsid w:val="00142C4E"/>
    <w:rsid w:val="001460F9"/>
    <w:rsid w:val="0015186D"/>
    <w:rsid w:val="00162F3F"/>
    <w:rsid w:val="001634D2"/>
    <w:rsid w:val="001767C7"/>
    <w:rsid w:val="00182DC1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5C6C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40B3"/>
    <w:rsid w:val="002358FD"/>
    <w:rsid w:val="00243206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2C5D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E47D9"/>
    <w:rsid w:val="003E72BA"/>
    <w:rsid w:val="003E77E7"/>
    <w:rsid w:val="00416EE0"/>
    <w:rsid w:val="00423F7D"/>
    <w:rsid w:val="00424C9A"/>
    <w:rsid w:val="0042648F"/>
    <w:rsid w:val="00427F2E"/>
    <w:rsid w:val="0043106E"/>
    <w:rsid w:val="0043216B"/>
    <w:rsid w:val="00443575"/>
    <w:rsid w:val="00453A35"/>
    <w:rsid w:val="00475093"/>
    <w:rsid w:val="00476B6B"/>
    <w:rsid w:val="00480D74"/>
    <w:rsid w:val="00481516"/>
    <w:rsid w:val="00492BFB"/>
    <w:rsid w:val="00493494"/>
    <w:rsid w:val="0049494C"/>
    <w:rsid w:val="00496359"/>
    <w:rsid w:val="00496BC5"/>
    <w:rsid w:val="004979B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46E47"/>
    <w:rsid w:val="0055190A"/>
    <w:rsid w:val="005623CE"/>
    <w:rsid w:val="00571A98"/>
    <w:rsid w:val="00572AF5"/>
    <w:rsid w:val="005768B6"/>
    <w:rsid w:val="005817DD"/>
    <w:rsid w:val="0058429C"/>
    <w:rsid w:val="00587924"/>
    <w:rsid w:val="0059389B"/>
    <w:rsid w:val="005A0706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2755C"/>
    <w:rsid w:val="00630BDF"/>
    <w:rsid w:val="00631599"/>
    <w:rsid w:val="006324B0"/>
    <w:rsid w:val="0063307C"/>
    <w:rsid w:val="00633483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6B95"/>
    <w:rsid w:val="00677092"/>
    <w:rsid w:val="00677F45"/>
    <w:rsid w:val="0068793C"/>
    <w:rsid w:val="00691B18"/>
    <w:rsid w:val="00694C8B"/>
    <w:rsid w:val="006A32BF"/>
    <w:rsid w:val="006A330D"/>
    <w:rsid w:val="006A59F3"/>
    <w:rsid w:val="006A786B"/>
    <w:rsid w:val="006B371B"/>
    <w:rsid w:val="006B58EF"/>
    <w:rsid w:val="006C1D14"/>
    <w:rsid w:val="006C24EC"/>
    <w:rsid w:val="006D4791"/>
    <w:rsid w:val="006E260C"/>
    <w:rsid w:val="006E547E"/>
    <w:rsid w:val="006E68C9"/>
    <w:rsid w:val="006E7106"/>
    <w:rsid w:val="006F6829"/>
    <w:rsid w:val="00701D37"/>
    <w:rsid w:val="00706C2F"/>
    <w:rsid w:val="00707F2C"/>
    <w:rsid w:val="007100E8"/>
    <w:rsid w:val="00711544"/>
    <w:rsid w:val="007173F6"/>
    <w:rsid w:val="00741412"/>
    <w:rsid w:val="00746218"/>
    <w:rsid w:val="00750142"/>
    <w:rsid w:val="007520E3"/>
    <w:rsid w:val="007556E3"/>
    <w:rsid w:val="0075584F"/>
    <w:rsid w:val="0076083E"/>
    <w:rsid w:val="007700B2"/>
    <w:rsid w:val="007718A8"/>
    <w:rsid w:val="00771B52"/>
    <w:rsid w:val="00783C92"/>
    <w:rsid w:val="00786029"/>
    <w:rsid w:val="00786A8F"/>
    <w:rsid w:val="007877C6"/>
    <w:rsid w:val="00787879"/>
    <w:rsid w:val="007954BB"/>
    <w:rsid w:val="007A6237"/>
    <w:rsid w:val="007B2AF2"/>
    <w:rsid w:val="007B37A6"/>
    <w:rsid w:val="007C3047"/>
    <w:rsid w:val="007F1374"/>
    <w:rsid w:val="007F3897"/>
    <w:rsid w:val="007F5C9E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43E8"/>
    <w:rsid w:val="008B4E7F"/>
    <w:rsid w:val="008B5E66"/>
    <w:rsid w:val="008C7893"/>
    <w:rsid w:val="008C78F7"/>
    <w:rsid w:val="008D3AC6"/>
    <w:rsid w:val="008D4699"/>
    <w:rsid w:val="008D502C"/>
    <w:rsid w:val="008D5FC7"/>
    <w:rsid w:val="008D618E"/>
    <w:rsid w:val="008E0280"/>
    <w:rsid w:val="008E7993"/>
    <w:rsid w:val="008F36ED"/>
    <w:rsid w:val="008F7ECA"/>
    <w:rsid w:val="009035F8"/>
    <w:rsid w:val="00916920"/>
    <w:rsid w:val="00923948"/>
    <w:rsid w:val="009462EB"/>
    <w:rsid w:val="00946501"/>
    <w:rsid w:val="00950AEC"/>
    <w:rsid w:val="00951E72"/>
    <w:rsid w:val="009658F6"/>
    <w:rsid w:val="00967ED1"/>
    <w:rsid w:val="00970EC0"/>
    <w:rsid w:val="009710C3"/>
    <w:rsid w:val="00971B50"/>
    <w:rsid w:val="00974068"/>
    <w:rsid w:val="00986095"/>
    <w:rsid w:val="00986CFB"/>
    <w:rsid w:val="0098759A"/>
    <w:rsid w:val="00992CD5"/>
    <w:rsid w:val="00993C21"/>
    <w:rsid w:val="00995B8A"/>
    <w:rsid w:val="00995D8C"/>
    <w:rsid w:val="00996607"/>
    <w:rsid w:val="009971AA"/>
    <w:rsid w:val="009A169D"/>
    <w:rsid w:val="009A4A14"/>
    <w:rsid w:val="009B4436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E6938"/>
    <w:rsid w:val="009F4A68"/>
    <w:rsid w:val="009F5040"/>
    <w:rsid w:val="009F5E83"/>
    <w:rsid w:val="00A11C58"/>
    <w:rsid w:val="00A12559"/>
    <w:rsid w:val="00A137AC"/>
    <w:rsid w:val="00A1634C"/>
    <w:rsid w:val="00A17BEA"/>
    <w:rsid w:val="00A22516"/>
    <w:rsid w:val="00A312FE"/>
    <w:rsid w:val="00A31359"/>
    <w:rsid w:val="00A44347"/>
    <w:rsid w:val="00A47E44"/>
    <w:rsid w:val="00A50194"/>
    <w:rsid w:val="00A72AA1"/>
    <w:rsid w:val="00A74DA2"/>
    <w:rsid w:val="00A84C25"/>
    <w:rsid w:val="00A90152"/>
    <w:rsid w:val="00AA1805"/>
    <w:rsid w:val="00AC2396"/>
    <w:rsid w:val="00AC3DC3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7F92"/>
    <w:rsid w:val="00B50ED6"/>
    <w:rsid w:val="00B51521"/>
    <w:rsid w:val="00B5278A"/>
    <w:rsid w:val="00B70365"/>
    <w:rsid w:val="00B720E1"/>
    <w:rsid w:val="00B775E3"/>
    <w:rsid w:val="00B827EF"/>
    <w:rsid w:val="00B87F5F"/>
    <w:rsid w:val="00B95238"/>
    <w:rsid w:val="00B9745A"/>
    <w:rsid w:val="00BA3173"/>
    <w:rsid w:val="00BA635F"/>
    <w:rsid w:val="00BB092A"/>
    <w:rsid w:val="00BB1DE6"/>
    <w:rsid w:val="00BB31AF"/>
    <w:rsid w:val="00BB3ADD"/>
    <w:rsid w:val="00BB5C6A"/>
    <w:rsid w:val="00BB686D"/>
    <w:rsid w:val="00BC3762"/>
    <w:rsid w:val="00BC5330"/>
    <w:rsid w:val="00BC7BD4"/>
    <w:rsid w:val="00BD427C"/>
    <w:rsid w:val="00BE1727"/>
    <w:rsid w:val="00BE1EA0"/>
    <w:rsid w:val="00BE3AC4"/>
    <w:rsid w:val="00BE5DF8"/>
    <w:rsid w:val="00BF342E"/>
    <w:rsid w:val="00BF445F"/>
    <w:rsid w:val="00BF5E74"/>
    <w:rsid w:val="00C055B6"/>
    <w:rsid w:val="00C117D9"/>
    <w:rsid w:val="00C14E97"/>
    <w:rsid w:val="00C16011"/>
    <w:rsid w:val="00C213F2"/>
    <w:rsid w:val="00C23305"/>
    <w:rsid w:val="00C236B5"/>
    <w:rsid w:val="00C26962"/>
    <w:rsid w:val="00C35E0B"/>
    <w:rsid w:val="00C4246A"/>
    <w:rsid w:val="00C47DB4"/>
    <w:rsid w:val="00C47F3A"/>
    <w:rsid w:val="00C526F3"/>
    <w:rsid w:val="00C55022"/>
    <w:rsid w:val="00C55B3E"/>
    <w:rsid w:val="00C565E9"/>
    <w:rsid w:val="00C57806"/>
    <w:rsid w:val="00C62784"/>
    <w:rsid w:val="00C6439E"/>
    <w:rsid w:val="00C71483"/>
    <w:rsid w:val="00C81A6F"/>
    <w:rsid w:val="00C838EC"/>
    <w:rsid w:val="00C83ED0"/>
    <w:rsid w:val="00C85150"/>
    <w:rsid w:val="00C87A2B"/>
    <w:rsid w:val="00C90EB6"/>
    <w:rsid w:val="00C930F6"/>
    <w:rsid w:val="00C95E1D"/>
    <w:rsid w:val="00C97FDB"/>
    <w:rsid w:val="00CA0424"/>
    <w:rsid w:val="00CA1A0D"/>
    <w:rsid w:val="00CA471F"/>
    <w:rsid w:val="00CB375C"/>
    <w:rsid w:val="00CC4B00"/>
    <w:rsid w:val="00CC624E"/>
    <w:rsid w:val="00CD2F81"/>
    <w:rsid w:val="00CE485B"/>
    <w:rsid w:val="00CE5A73"/>
    <w:rsid w:val="00CF3205"/>
    <w:rsid w:val="00CF3ECA"/>
    <w:rsid w:val="00CF4522"/>
    <w:rsid w:val="00D065EA"/>
    <w:rsid w:val="00D1109D"/>
    <w:rsid w:val="00D11B8C"/>
    <w:rsid w:val="00D16BEE"/>
    <w:rsid w:val="00D16E24"/>
    <w:rsid w:val="00D17F55"/>
    <w:rsid w:val="00D245BD"/>
    <w:rsid w:val="00D30BE9"/>
    <w:rsid w:val="00D35AE6"/>
    <w:rsid w:val="00D40880"/>
    <w:rsid w:val="00D40B64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ABC"/>
    <w:rsid w:val="00D6498F"/>
    <w:rsid w:val="00D65897"/>
    <w:rsid w:val="00D727CE"/>
    <w:rsid w:val="00D72EC5"/>
    <w:rsid w:val="00D840A4"/>
    <w:rsid w:val="00D849F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2F8D"/>
    <w:rsid w:val="00DE5E8F"/>
    <w:rsid w:val="00DE78E4"/>
    <w:rsid w:val="00DF145D"/>
    <w:rsid w:val="00DF2115"/>
    <w:rsid w:val="00DF33D7"/>
    <w:rsid w:val="00E02597"/>
    <w:rsid w:val="00E02AEF"/>
    <w:rsid w:val="00E07989"/>
    <w:rsid w:val="00E1032C"/>
    <w:rsid w:val="00E130DE"/>
    <w:rsid w:val="00E2045F"/>
    <w:rsid w:val="00E2667B"/>
    <w:rsid w:val="00E26D2F"/>
    <w:rsid w:val="00E314F8"/>
    <w:rsid w:val="00E35041"/>
    <w:rsid w:val="00E52524"/>
    <w:rsid w:val="00E6285C"/>
    <w:rsid w:val="00E708E2"/>
    <w:rsid w:val="00E766C1"/>
    <w:rsid w:val="00E77E85"/>
    <w:rsid w:val="00E803A2"/>
    <w:rsid w:val="00E8157E"/>
    <w:rsid w:val="00E92A88"/>
    <w:rsid w:val="00E94FC7"/>
    <w:rsid w:val="00E95D34"/>
    <w:rsid w:val="00EA1C5E"/>
    <w:rsid w:val="00EA7245"/>
    <w:rsid w:val="00EB2F59"/>
    <w:rsid w:val="00EB5F40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2F46"/>
    <w:rsid w:val="00EF34B2"/>
    <w:rsid w:val="00EF7CD9"/>
    <w:rsid w:val="00F06C45"/>
    <w:rsid w:val="00F10764"/>
    <w:rsid w:val="00F24846"/>
    <w:rsid w:val="00F26423"/>
    <w:rsid w:val="00F33214"/>
    <w:rsid w:val="00F3597E"/>
    <w:rsid w:val="00F36267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08FB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5F4D"/>
    <w:rsid w:val="00FC6587"/>
    <w:rsid w:val="00FD139A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F2D0B"/>
  <w15:docId w15:val="{7C85D3DF-1D21-4C07-AD73-E97AB043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Char">
    <w:name w:val="批注文字 Char"/>
    <w:rsid w:val="00DE2F8D"/>
    <w:rPr>
      <w:rFonts w:ascii="Calibri" w:eastAsia="宋体" w:hAnsi="Calibri" w:cs="Times New Roman"/>
      <w:sz w:val="22"/>
      <w:szCs w:val="22"/>
    </w:rPr>
  </w:style>
  <w:style w:type="paragraph" w:customStyle="1" w:styleId="abiaoge">
    <w:name w:val="a biaoge"/>
    <w:basedOn w:val="ae"/>
    <w:qFormat/>
    <w:rsid w:val="00DE2F8D"/>
    <w:pPr>
      <w:spacing w:line="0" w:lineRule="atLeast"/>
    </w:pPr>
    <w:rPr>
      <w:rFonts w:ascii="Times New Roman" w:eastAsia="宋体" w:hAnsi="Times New Roman" w:cs="Times New Roman"/>
      <w:szCs w:val="21"/>
    </w:rPr>
  </w:style>
  <w:style w:type="paragraph" w:styleId="ae">
    <w:name w:val="No Spacing"/>
    <w:uiPriority w:val="1"/>
    <w:qFormat/>
    <w:rsid w:val="00DE2F8D"/>
    <w:pPr>
      <w:widowControl w:val="0"/>
      <w:jc w:val="both"/>
    </w:pPr>
  </w:style>
  <w:style w:type="paragraph" w:customStyle="1" w:styleId="TableCellCenter">
    <w:name w:val="Table Cell Center"/>
    <w:basedOn w:val="a"/>
    <w:next w:val="a"/>
    <w:qFormat/>
    <w:rsid w:val="00676B95"/>
    <w:pPr>
      <w:keepNext/>
      <w:keepLines/>
      <w:widowControl/>
      <w:spacing w:before="50" w:after="50" w:line="240" w:lineRule="exact"/>
      <w:jc w:val="center"/>
    </w:pPr>
    <w:rPr>
      <w:rFonts w:ascii="Times New Roman" w:hAnsi="Times New Roman"/>
      <w:kern w:val="0"/>
      <w:sz w:val="20"/>
      <w:szCs w:val="20"/>
      <w:lang w:eastAsia="en-US"/>
    </w:rPr>
  </w:style>
  <w:style w:type="paragraph" w:styleId="af">
    <w:name w:val="caption"/>
    <w:basedOn w:val="a"/>
    <w:next w:val="a"/>
    <w:link w:val="af0"/>
    <w:uiPriority w:val="35"/>
    <w:unhideWhenUsed/>
    <w:qFormat/>
    <w:rsid w:val="00B5278A"/>
    <w:rPr>
      <w:rFonts w:asciiTheme="majorHAnsi" w:eastAsia="黑体" w:hAnsiTheme="majorHAnsi" w:cstheme="majorBidi"/>
      <w:sz w:val="20"/>
      <w:szCs w:val="20"/>
    </w:rPr>
  </w:style>
  <w:style w:type="character" w:customStyle="1" w:styleId="af0">
    <w:name w:val="题注 字符"/>
    <w:link w:val="af"/>
    <w:uiPriority w:val="35"/>
    <w:unhideWhenUsed/>
    <w:qFormat/>
    <w:locked/>
    <w:rsid w:val="00B5278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0AFA3-9F05-4241-B585-8DBB380D6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李丽</cp:lastModifiedBy>
  <cp:revision>4</cp:revision>
  <dcterms:created xsi:type="dcterms:W3CDTF">2023-07-17T00:32:00Z</dcterms:created>
  <dcterms:modified xsi:type="dcterms:W3CDTF">2023-07-25T10:25:00Z</dcterms:modified>
</cp:coreProperties>
</file>