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A00F50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00F50">
              <w:rPr>
                <w:rFonts w:asciiTheme="minorEastAsia" w:hAnsiTheme="minorEastAsia" w:hint="eastAsia"/>
                <w:sz w:val="24"/>
                <w:szCs w:val="24"/>
              </w:rPr>
              <w:t>盐酸丙卡</w:t>
            </w:r>
            <w:proofErr w:type="gramStart"/>
            <w:r w:rsidRPr="00A00F50">
              <w:rPr>
                <w:rFonts w:asciiTheme="minorEastAsia" w:hAnsiTheme="minorEastAsia" w:hint="eastAsia"/>
                <w:sz w:val="24"/>
                <w:szCs w:val="24"/>
              </w:rPr>
              <w:t>特罗片</w:t>
            </w:r>
            <w:proofErr w:type="gramEnd"/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A00F50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F50">
              <w:rPr>
                <w:rFonts w:ascii="Times New Roman" w:hAnsi="Times New Roman" w:cs="Times New Roman"/>
                <w:sz w:val="24"/>
                <w:szCs w:val="24"/>
              </w:rPr>
              <w:t>Procaterol</w:t>
            </w:r>
            <w:proofErr w:type="spellEnd"/>
            <w:r w:rsidRPr="00A00F50">
              <w:rPr>
                <w:rFonts w:ascii="Times New Roman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A00F50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A00F50">
              <w:rPr>
                <w:rFonts w:ascii="Times New Roman" w:hAnsi="Times New Roman" w:cs="Times New Roman"/>
                <w:sz w:val="24"/>
                <w:szCs w:val="24"/>
              </w:rPr>
              <w:t>25µg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A00F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0F50">
              <w:rPr>
                <w:rFonts w:ascii="Times New Roman" w:hAnsi="Times New Roman" w:cs="Times New Roman" w:hint="eastAsia"/>
                <w:sz w:val="24"/>
                <w:szCs w:val="24"/>
              </w:rPr>
              <w:t>安徽环球药业股份有限公司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A00F50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0F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安徽省蚌埠市黄山大道</w:t>
            </w:r>
            <w:r w:rsidRPr="00A00F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3809</w:t>
            </w:r>
            <w:r w:rsidRPr="00A00F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A00F50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0F50">
              <w:rPr>
                <w:rFonts w:ascii="Times New Roman" w:hAnsi="Times New Roman" w:cs="Times New Roman" w:hint="eastAsia"/>
                <w:sz w:val="24"/>
                <w:szCs w:val="24"/>
              </w:rPr>
              <w:t>安徽环球药业股份有限公司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A00F5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B04C45" w:rsidRPr="00B04C45">
              <w:rPr>
                <w:rFonts w:ascii="Times New Roman" w:hAnsi="Times New Roman" w:cs="Times New Roman"/>
                <w:sz w:val="24"/>
                <w:szCs w:val="24"/>
              </w:rPr>
              <w:t>H34023109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206BC3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06BC3">
              <w:rPr>
                <w:rFonts w:ascii="Times New Roman" w:hAnsi="Times New Roman" w:cs="Times New Roman"/>
                <w:sz w:val="24"/>
                <w:szCs w:val="24"/>
              </w:rPr>
              <w:t>210415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206BC3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06BC3">
              <w:rPr>
                <w:rFonts w:asciiTheme="minorEastAsia" w:hAnsiTheme="minorEastAsia" w:hint="eastAsia"/>
                <w:sz w:val="24"/>
                <w:szCs w:val="24"/>
              </w:rPr>
              <w:t>安徽环球药业股份有限公司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B04C45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04C45">
              <w:rPr>
                <w:rFonts w:ascii="Times New Roman" w:hAnsi="Times New Roman" w:cs="Times New Roman"/>
                <w:sz w:val="24"/>
                <w:szCs w:val="24"/>
              </w:rPr>
              <w:t>B202100176-01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206BC3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6BC3">
              <w:rPr>
                <w:rFonts w:asciiTheme="minorEastAsia" w:eastAsiaTheme="minorEastAsia" w:hAnsiTheme="minorEastAsia" w:hint="eastAsia"/>
                <w:sz w:val="24"/>
                <w:szCs w:val="24"/>
              </w:rPr>
              <w:t>蚌埠医学院第一附属医院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206BC3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6BC3">
              <w:rPr>
                <w:rFonts w:asciiTheme="minorEastAsia" w:eastAsiaTheme="minorEastAsia" w:hAnsiTheme="minorEastAsia" w:hint="eastAsia"/>
                <w:sz w:val="24"/>
                <w:szCs w:val="24"/>
              </w:rPr>
              <w:t>安徽本奥医学科技有限公司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206BC3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6BC3">
              <w:rPr>
                <w:rFonts w:asciiTheme="minorEastAsia" w:eastAsiaTheme="minorEastAsia" w:hAnsiTheme="minorEastAsia" w:hint="eastAsia"/>
                <w:sz w:val="24"/>
                <w:szCs w:val="24"/>
              </w:rPr>
              <w:t>安徽万邦医药科技股份有限公司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B04C4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206BC3" w:rsidRPr="00206BC3">
              <w:rPr>
                <w:rFonts w:asciiTheme="minorEastAsia" w:eastAsiaTheme="minorEastAsia" w:hAnsiTheme="minorEastAsia" w:hint="eastAsia"/>
                <w:sz w:val="24"/>
                <w:szCs w:val="24"/>
              </w:rPr>
              <w:t>丙卡</w:t>
            </w:r>
            <w:proofErr w:type="gramStart"/>
            <w:r w:rsidR="00206BC3" w:rsidRPr="00206BC3">
              <w:rPr>
                <w:rFonts w:asciiTheme="minorEastAsia" w:eastAsiaTheme="minorEastAsia" w:hAnsiTheme="minorEastAsia" w:hint="eastAsia"/>
                <w:sz w:val="24"/>
                <w:szCs w:val="24"/>
              </w:rPr>
              <w:t>特</w:t>
            </w:r>
            <w:proofErr w:type="gramEnd"/>
            <w:r w:rsidR="00206BC3" w:rsidRPr="00206BC3">
              <w:rPr>
                <w:rFonts w:asciiTheme="minorEastAsia" w:eastAsiaTheme="minorEastAsia" w:hAnsiTheme="minorEastAsia" w:hint="eastAsia"/>
                <w:sz w:val="24"/>
                <w:szCs w:val="24"/>
              </w:rPr>
              <w:t>罗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D54C3C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206BC3" w:rsidRPr="00206BC3">
        <w:rPr>
          <w:rFonts w:ascii="Times New Roman" w:eastAsia="宋体" w:hAnsi="Times New Roman" w:cs="Times New Roman"/>
          <w:sz w:val="24"/>
          <w:szCs w:val="24"/>
        </w:rPr>
        <w:t>25µg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206BC3" w:rsidRPr="00206BC3">
        <w:rPr>
          <w:rFonts w:asciiTheme="minorEastAsia" w:hAnsiTheme="minorEastAsia" w:hint="eastAsia"/>
          <w:sz w:val="24"/>
          <w:szCs w:val="24"/>
        </w:rPr>
        <w:t>丙卡</w:t>
      </w:r>
      <w:proofErr w:type="gramStart"/>
      <w:r w:rsidR="00206BC3" w:rsidRPr="00206BC3">
        <w:rPr>
          <w:rFonts w:asciiTheme="minorEastAsia" w:hAnsiTheme="minorEastAsia" w:hint="eastAsia"/>
          <w:sz w:val="24"/>
          <w:szCs w:val="24"/>
        </w:rPr>
        <w:t>特</w:t>
      </w:r>
      <w:proofErr w:type="gramEnd"/>
      <w:r w:rsidR="00206BC3" w:rsidRPr="00206BC3">
        <w:rPr>
          <w:rFonts w:asciiTheme="minorEastAsia" w:hAnsiTheme="minorEastAsia" w:hint="eastAsia"/>
          <w:sz w:val="24"/>
          <w:szCs w:val="24"/>
        </w:rPr>
        <w:t>罗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EF6355">
              <w:rPr>
                <w:rFonts w:ascii="Times New Roman" w:hAnsi="Times New Roman"/>
                <w:sz w:val="21"/>
                <w:szCs w:val="21"/>
              </w:rPr>
              <w:t>32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F6355" w:rsidRPr="007610B3" w:rsidTr="00EF635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148.78</w:t>
            </w:r>
          </w:p>
        </w:tc>
        <w:tc>
          <w:tcPr>
            <w:tcW w:w="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146.10</w:t>
            </w:r>
          </w:p>
        </w:tc>
        <w:tc>
          <w:tcPr>
            <w:tcW w:w="6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1" w:name="_Hlk88744195"/>
            <w:r w:rsidRPr="00EF6355">
              <w:rPr>
                <w:rFonts w:ascii="Times New Roman" w:hAnsi="Times New Roman"/>
                <w:sz w:val="21"/>
                <w:szCs w:val="21"/>
              </w:rPr>
              <w:t>101.84</w:t>
            </w:r>
            <w:bookmarkEnd w:id="1"/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90.70%~</w:t>
            </w:r>
            <w:r w:rsidRPr="00EF6355">
              <w:rPr>
                <w:rFonts w:ascii="Times New Roman" w:hAnsi="Times New Roman"/>
                <w:sz w:val="21"/>
                <w:szCs w:val="21"/>
              </w:rPr>
              <w:t>114.35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EF6355" w:rsidRPr="007610B3" w:rsidTr="00EF635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705.59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691.88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2" w:name="_Hlk88744213"/>
            <w:r w:rsidRPr="00EF6355">
              <w:rPr>
                <w:rFonts w:ascii="Times New Roman" w:hAnsi="Times New Roman"/>
                <w:sz w:val="21"/>
                <w:szCs w:val="21"/>
              </w:rPr>
              <w:t>101.98</w:t>
            </w:r>
            <w:bookmarkEnd w:id="2"/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3" w:name="_Hlk88744205"/>
            <w:r w:rsidRPr="00EF6355">
              <w:rPr>
                <w:rFonts w:ascii="Times New Roman" w:hAnsi="Times New Roman"/>
                <w:sz w:val="21"/>
                <w:szCs w:val="21"/>
              </w:rPr>
              <w:t>94.71</w:t>
            </w:r>
            <w:r>
              <w:rPr>
                <w:rFonts w:ascii="Times New Roman" w:hAnsi="Times New Roman"/>
                <w:sz w:val="21"/>
                <w:szCs w:val="21"/>
              </w:rPr>
              <w:t>%~</w:t>
            </w:r>
            <w:r w:rsidRPr="00EF6355">
              <w:rPr>
                <w:rFonts w:ascii="Times New Roman" w:hAnsi="Times New Roman"/>
                <w:sz w:val="21"/>
                <w:szCs w:val="21"/>
              </w:rPr>
              <w:t>109.81</w:t>
            </w:r>
            <w:bookmarkEnd w:id="3"/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EF6355" w:rsidRPr="007610B3" w:rsidTr="00EF635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754.78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736.93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4" w:name="_Hlk88744230"/>
            <w:r w:rsidRPr="00EF6355">
              <w:rPr>
                <w:rFonts w:ascii="Times New Roman" w:hAnsi="Times New Roman"/>
                <w:sz w:val="21"/>
                <w:szCs w:val="21"/>
              </w:rPr>
              <w:t>102.42</w:t>
            </w:r>
            <w:bookmarkEnd w:id="4"/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5" w:name="_Hlk88744221"/>
            <w:r>
              <w:rPr>
                <w:rFonts w:ascii="Times New Roman" w:hAnsi="Times New Roman"/>
                <w:sz w:val="21"/>
                <w:szCs w:val="21"/>
              </w:rPr>
              <w:t>95.37%~</w:t>
            </w:r>
            <w:r w:rsidRPr="00EF6355">
              <w:rPr>
                <w:rFonts w:ascii="Times New Roman" w:hAnsi="Times New Roman"/>
                <w:sz w:val="21"/>
                <w:szCs w:val="21"/>
              </w:rPr>
              <w:t>110.00</w:t>
            </w:r>
            <w:bookmarkEnd w:id="5"/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EF6355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n=32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EF6355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F6355" w:rsidRPr="007610B3" w:rsidTr="00A369D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50.19</w:t>
            </w:r>
          </w:p>
        </w:tc>
        <w:tc>
          <w:tcPr>
            <w:tcW w:w="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51.54</w:t>
            </w:r>
          </w:p>
        </w:tc>
        <w:tc>
          <w:tcPr>
            <w:tcW w:w="63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97.38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87.88%~</w:t>
            </w:r>
            <w:r w:rsidRPr="00EF6355">
              <w:rPr>
                <w:rFonts w:ascii="Times New Roman" w:hAnsi="Times New Roman"/>
                <w:sz w:val="21"/>
                <w:szCs w:val="21"/>
              </w:rPr>
              <w:t>107.91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EF6355" w:rsidRPr="007610B3" w:rsidTr="00A369D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298.31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288.56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103.38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6" w:name="_Hlk88748247"/>
            <w:r>
              <w:rPr>
                <w:rFonts w:ascii="Times New Roman" w:hAnsi="Times New Roman"/>
                <w:sz w:val="21"/>
                <w:szCs w:val="21"/>
              </w:rPr>
              <w:t>100.18%~</w:t>
            </w:r>
            <w:r w:rsidRPr="00EF6355">
              <w:rPr>
                <w:rFonts w:ascii="Times New Roman" w:hAnsi="Times New Roman"/>
                <w:sz w:val="21"/>
                <w:szCs w:val="21"/>
              </w:rPr>
              <w:t>106.69</w:t>
            </w:r>
            <w:bookmarkEnd w:id="6"/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EF6355" w:rsidRPr="007610B3" w:rsidTr="00A369D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F6355" w:rsidRPr="007610B3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341.63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329.31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F6355">
              <w:rPr>
                <w:rFonts w:ascii="Times New Roman" w:hAnsi="Times New Roman"/>
                <w:sz w:val="21"/>
                <w:szCs w:val="21"/>
              </w:rPr>
              <w:t>103.74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355" w:rsidRPr="00EF6355" w:rsidRDefault="00EF6355" w:rsidP="00EF635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99.83%~</w:t>
            </w:r>
            <w:r w:rsidRPr="00EF6355">
              <w:rPr>
                <w:rFonts w:ascii="Times New Roman" w:hAnsi="Times New Roman"/>
                <w:sz w:val="21"/>
                <w:szCs w:val="21"/>
              </w:rPr>
              <w:t>107.81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6E6EB7" w:rsidRPr="006E6EB7">
        <w:rPr>
          <w:rFonts w:asciiTheme="minorEastAsia" w:hAnsiTheme="minorEastAsia" w:hint="eastAsia"/>
          <w:kern w:val="0"/>
          <w:sz w:val="24"/>
          <w:szCs w:val="24"/>
        </w:rPr>
        <w:t>安徽环球药业股份有限公司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6E6EB7" w:rsidRPr="006E6EB7">
        <w:rPr>
          <w:rFonts w:asciiTheme="minorEastAsia" w:hAnsiTheme="minorEastAsia" w:hint="eastAsia"/>
          <w:sz w:val="24"/>
          <w:szCs w:val="24"/>
        </w:rPr>
        <w:t>盐酸丙卡</w:t>
      </w:r>
      <w:proofErr w:type="gramStart"/>
      <w:r w:rsidR="006E6EB7" w:rsidRPr="006E6EB7">
        <w:rPr>
          <w:rFonts w:asciiTheme="minorEastAsia" w:hAnsiTheme="minorEastAsia" w:hint="eastAsia"/>
          <w:sz w:val="24"/>
          <w:szCs w:val="24"/>
        </w:rPr>
        <w:t>特</w:t>
      </w:r>
      <w:proofErr w:type="gramEnd"/>
      <w:r w:rsidR="006E6EB7" w:rsidRPr="006E6EB7">
        <w:rPr>
          <w:rFonts w:asciiTheme="minorEastAsia" w:hAnsiTheme="minorEastAsia" w:hint="eastAsia"/>
          <w:sz w:val="24"/>
          <w:szCs w:val="24"/>
        </w:rPr>
        <w:t>罗片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6E6EB7" w:rsidRPr="006E6EB7">
        <w:rPr>
          <w:rFonts w:ascii="Times New Roman" w:hAnsi="Times New Roman" w:cs="Times New Roman"/>
          <w:sz w:val="24"/>
          <w:szCs w:val="24"/>
        </w:rPr>
        <w:t>25µg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E6EB7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E6EB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F1B" w:rsidRDefault="00613F1B" w:rsidP="00D45C81">
      <w:r>
        <w:separator/>
      </w:r>
    </w:p>
  </w:endnote>
  <w:endnote w:type="continuationSeparator" w:id="0">
    <w:p w:rsidR="00613F1B" w:rsidRDefault="00613F1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54C3C" w:rsidRPr="00D54C3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F1B" w:rsidRDefault="00613F1B" w:rsidP="00D45C81">
      <w:r>
        <w:separator/>
      </w:r>
    </w:p>
  </w:footnote>
  <w:footnote w:type="continuationSeparator" w:id="0">
    <w:p w:rsidR="00613F1B" w:rsidRDefault="00613F1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6B95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6BC3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3F1B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6EB7"/>
    <w:rsid w:val="006E7106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F50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4C45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4C3C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6355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9E605-1AFF-40ED-9582-8CCBA884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83</cp:revision>
  <dcterms:created xsi:type="dcterms:W3CDTF">2020-01-07T06:08:00Z</dcterms:created>
  <dcterms:modified xsi:type="dcterms:W3CDTF">2023-05-04T14:42:00Z</dcterms:modified>
</cp:coreProperties>
</file>