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64C7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64C7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64C7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64C7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564C7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564C7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64C7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64C7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64C7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盐酸特拉唑嗪片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Terazosin Hydrochloride Tablets</w:t>
            </w:r>
          </w:p>
        </w:tc>
      </w:tr>
      <w:tr w:rsidR="00AE0A9F" w:rsidRPr="00564C76" w:rsidTr="00283C0A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564C76">
            <w:pPr>
              <w:widowControl/>
              <w:spacing w:line="360" w:lineRule="auto"/>
              <w:ind w:rightChars="50" w:right="105" w:firstLineChars="50" w:firstLine="1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2mg</w:t>
            </w:r>
            <w:r w:rsidRPr="00C406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（按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19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25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5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</w:t>
            </w:r>
            <w:r w:rsidRPr="00C406C7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4</w:t>
            </w:r>
            <w:r w:rsidRPr="00C406C7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计）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中山可可康制药有限公司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中山市火炬开发区东镇东二路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中山可可康制药有限公司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H20053656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64C76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64C7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64C7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200803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中山可可康制药有限公司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64C7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564C7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64C7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B202100003-01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广州中医药大学第一附属医院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苏州旭辉检测有限公司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64C76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64C76" w:rsidRDefault="009433C2" w:rsidP="00C2135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64C76"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特拉唑嗪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64C7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64C7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C7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64C7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64C7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64C7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64C76" w:rsidRDefault="00564C76" w:rsidP="003D5F1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C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</w:t>
            </w:r>
            <w:r w:rsidR="003D5F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</w:t>
            </w:r>
            <w:r w:rsidRPr="00564C76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E0A9F" w:rsidRPr="00564C7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64C76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64C76">
        <w:rPr>
          <w:rFonts w:ascii="宋体" w:eastAsia="宋体" w:hAnsi="宋体" w:cs="Times New Roman" w:hint="eastAsia"/>
          <w:sz w:val="24"/>
          <w:szCs w:val="24"/>
        </w:rPr>
        <w:t>（</w:t>
      </w:r>
      <w:r w:rsidR="00564C76" w:rsidRPr="00564C76">
        <w:rPr>
          <w:rFonts w:ascii="Times New Roman" w:eastAsia="宋体" w:hAnsi="Times New Roman" w:cs="Times New Roman"/>
          <w:sz w:val="24"/>
          <w:szCs w:val="24"/>
        </w:rPr>
        <w:t>2m</w:t>
      </w:r>
      <w:r w:rsidRPr="00564C76">
        <w:rPr>
          <w:rFonts w:ascii="Times New Roman" w:eastAsia="宋体" w:hAnsi="Times New Roman" w:cs="Times New Roman"/>
          <w:sz w:val="24"/>
          <w:szCs w:val="24"/>
        </w:rPr>
        <w:t>g</w:t>
      </w:r>
      <w:r w:rsidRPr="00564C7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64C76" w:rsidRPr="00564C76">
        <w:rPr>
          <w:rFonts w:ascii="宋体" w:eastAsia="宋体" w:hAnsi="宋体" w:cs="Times New Roman" w:hint="eastAsia"/>
          <w:sz w:val="24"/>
          <w:szCs w:val="24"/>
        </w:rPr>
        <w:t>特拉唑嗪</w:t>
      </w:r>
      <w:r w:rsidRPr="00564C7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564C76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564C76" w:rsidRDefault="00C86E18" w:rsidP="00564C7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64C76" w:rsidRPr="00564C76"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86E18" w:rsidRPr="00564C76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64C7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564C76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64C76" w:rsidRPr="00564C76" w:rsidTr="00BB3A22">
        <w:trPr>
          <w:trHeight w:val="20"/>
          <w:jc w:val="center"/>
        </w:trPr>
        <w:tc>
          <w:tcPr>
            <w:tcW w:w="640" w:type="pct"/>
            <w:vMerge/>
          </w:tcPr>
          <w:p w:rsidR="00564C76" w:rsidRPr="00564C76" w:rsidRDefault="00564C76" w:rsidP="00564C7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564C76" w:rsidRPr="00564C76" w:rsidRDefault="00564C76" w:rsidP="00564C76">
            <w:pPr>
              <w:widowControl/>
              <w:spacing w:line="300" w:lineRule="auto"/>
              <w:rPr>
                <w:iCs/>
                <w:color w:val="000000"/>
                <w:sz w:val="21"/>
                <w:szCs w:val="21"/>
              </w:rPr>
            </w:pPr>
            <w:r w:rsidRPr="00564C76">
              <w:rPr>
                <w:iCs/>
                <w:color w:val="000000"/>
                <w:sz w:val="21"/>
                <w:szCs w:val="21"/>
              </w:rPr>
              <w:t>C</w:t>
            </w:r>
            <w:r w:rsidRPr="00564C76">
              <w:rPr>
                <w:color w:val="000000"/>
                <w:sz w:val="21"/>
                <w:szCs w:val="21"/>
                <w:vertAlign w:val="subscript"/>
              </w:rPr>
              <w:t xml:space="preserve">max </w:t>
            </w:r>
            <w:r w:rsidRPr="00564C76"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50.81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50.52</w:t>
            </w:r>
          </w:p>
        </w:tc>
        <w:tc>
          <w:tcPr>
            <w:tcW w:w="683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100.59</w:t>
            </w:r>
          </w:p>
        </w:tc>
        <w:tc>
          <w:tcPr>
            <w:tcW w:w="111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92.55 ~ 109.32</w:t>
            </w:r>
          </w:p>
        </w:tc>
      </w:tr>
      <w:tr w:rsidR="00564C76" w:rsidRPr="00564C76" w:rsidTr="00BB3A22">
        <w:trPr>
          <w:trHeight w:val="20"/>
          <w:jc w:val="center"/>
        </w:trPr>
        <w:tc>
          <w:tcPr>
            <w:tcW w:w="640" w:type="pct"/>
            <w:vMerge/>
          </w:tcPr>
          <w:p w:rsidR="00564C76" w:rsidRPr="00564C76" w:rsidRDefault="00564C76" w:rsidP="00564C7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564C76" w:rsidRPr="00564C76" w:rsidRDefault="00564C76" w:rsidP="00564C76">
            <w:pPr>
              <w:widowControl/>
              <w:spacing w:line="300" w:lineRule="auto"/>
              <w:rPr>
                <w:iCs/>
                <w:color w:val="000000"/>
                <w:sz w:val="21"/>
                <w:szCs w:val="21"/>
              </w:rPr>
            </w:pPr>
            <w:r w:rsidRPr="00564C76">
              <w:rPr>
                <w:iCs/>
                <w:color w:val="000000"/>
                <w:sz w:val="21"/>
                <w:szCs w:val="21"/>
              </w:rPr>
              <w:t>AUC</w:t>
            </w:r>
            <w:r w:rsidRPr="00564C76">
              <w:rPr>
                <w:color w:val="000000"/>
                <w:sz w:val="21"/>
                <w:szCs w:val="21"/>
                <w:vertAlign w:val="subscript"/>
              </w:rPr>
              <w:t xml:space="preserve">0-t </w:t>
            </w:r>
            <w:r w:rsidRPr="00564C76">
              <w:rPr>
                <w:color w:val="000000"/>
                <w:sz w:val="21"/>
                <w:szCs w:val="21"/>
              </w:rPr>
              <w:t>(h*ng/mL)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482.86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473.40</w:t>
            </w:r>
          </w:p>
        </w:tc>
        <w:tc>
          <w:tcPr>
            <w:tcW w:w="683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102.00</w:t>
            </w:r>
          </w:p>
        </w:tc>
        <w:tc>
          <w:tcPr>
            <w:tcW w:w="111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94.76 ~ 109.79</w:t>
            </w:r>
          </w:p>
        </w:tc>
      </w:tr>
      <w:tr w:rsidR="00564C76" w:rsidRPr="00564C76" w:rsidTr="00BB3A22">
        <w:trPr>
          <w:trHeight w:val="20"/>
          <w:jc w:val="center"/>
        </w:trPr>
        <w:tc>
          <w:tcPr>
            <w:tcW w:w="640" w:type="pct"/>
            <w:vMerge/>
          </w:tcPr>
          <w:p w:rsidR="00564C76" w:rsidRPr="00564C76" w:rsidRDefault="00564C76" w:rsidP="00564C7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564C76" w:rsidRPr="00564C76" w:rsidRDefault="00564C76" w:rsidP="00564C76">
            <w:pPr>
              <w:widowControl/>
              <w:spacing w:line="300" w:lineRule="auto"/>
              <w:rPr>
                <w:iCs/>
                <w:color w:val="000000"/>
                <w:sz w:val="21"/>
                <w:szCs w:val="21"/>
              </w:rPr>
            </w:pPr>
            <w:r w:rsidRPr="00564C76">
              <w:rPr>
                <w:iCs/>
                <w:color w:val="000000"/>
                <w:sz w:val="21"/>
                <w:szCs w:val="21"/>
              </w:rPr>
              <w:t>AUC</w:t>
            </w:r>
            <w:r w:rsidRPr="00564C76">
              <w:rPr>
                <w:color w:val="000000"/>
                <w:sz w:val="21"/>
                <w:szCs w:val="21"/>
                <w:vertAlign w:val="subscript"/>
              </w:rPr>
              <w:t xml:space="preserve">0-∞ </w:t>
            </w:r>
            <w:r w:rsidRPr="00564C76">
              <w:rPr>
                <w:color w:val="000000"/>
                <w:sz w:val="21"/>
                <w:szCs w:val="21"/>
              </w:rPr>
              <w:t>(h*ng/mL)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502.86</w:t>
            </w:r>
          </w:p>
        </w:tc>
        <w:tc>
          <w:tcPr>
            <w:tcW w:w="68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495.31</w:t>
            </w:r>
          </w:p>
        </w:tc>
        <w:tc>
          <w:tcPr>
            <w:tcW w:w="683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101.52</w:t>
            </w:r>
          </w:p>
        </w:tc>
        <w:tc>
          <w:tcPr>
            <w:tcW w:w="1110" w:type="pct"/>
          </w:tcPr>
          <w:p w:rsidR="00564C76" w:rsidRPr="00564C76" w:rsidRDefault="00564C76" w:rsidP="00564C76">
            <w:pPr>
              <w:widowControl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564C76">
              <w:rPr>
                <w:sz w:val="21"/>
                <w:szCs w:val="21"/>
              </w:rPr>
              <w:t>94.33 ~ 109.26</w:t>
            </w:r>
          </w:p>
        </w:tc>
      </w:tr>
    </w:tbl>
    <w:p w:rsidR="00AE0A9F" w:rsidRPr="00564C76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64C7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64C7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64C76" w:rsidRPr="00564C76">
        <w:rPr>
          <w:rFonts w:ascii="Times New Roman" w:eastAsia="宋体" w:hAnsi="Times New Roman" w:cs="Times New Roman" w:hint="eastAsia"/>
          <w:sz w:val="24"/>
          <w:szCs w:val="24"/>
        </w:rPr>
        <w:t>中山可可康制药有限公司</w:t>
      </w:r>
      <w:r w:rsidRPr="00564C76">
        <w:rPr>
          <w:rFonts w:ascii="宋体" w:eastAsia="宋体" w:hAnsi="宋体" w:cs="Times New Roman" w:hint="eastAsia"/>
          <w:sz w:val="24"/>
          <w:szCs w:val="24"/>
        </w:rPr>
        <w:t>生产的</w:t>
      </w:r>
      <w:r w:rsidR="00564C76" w:rsidRPr="00564C76">
        <w:rPr>
          <w:rFonts w:ascii="宋体" w:eastAsia="宋体" w:hAnsi="宋体" w:cs="Times New Roman" w:hint="eastAsia"/>
          <w:sz w:val="24"/>
          <w:szCs w:val="24"/>
        </w:rPr>
        <w:t>盐酸特拉唑嗪片</w:t>
      </w:r>
      <w:r w:rsidRPr="00564C7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64C7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64C76" w:rsidRPr="00564C76">
        <w:rPr>
          <w:rFonts w:ascii="Times New Roman" w:eastAsia="宋体" w:hAnsi="Times New Roman" w:cs="Times New Roman"/>
          <w:sz w:val="24"/>
          <w:szCs w:val="24"/>
        </w:rPr>
        <w:t>2m</w:t>
      </w:r>
      <w:r w:rsidR="00F91F52" w:rsidRPr="00564C76">
        <w:rPr>
          <w:rFonts w:ascii="Times New Roman" w:eastAsia="宋体" w:hAnsi="Times New Roman" w:cs="Times New Roman"/>
          <w:sz w:val="24"/>
          <w:szCs w:val="24"/>
        </w:rPr>
        <w:t>g</w:t>
      </w:r>
      <w:r w:rsidRPr="00564C7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64C7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64C7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0BF" w:rsidRDefault="001B00BF" w:rsidP="00AE0A9F">
      <w:r>
        <w:separator/>
      </w:r>
    </w:p>
  </w:endnote>
  <w:endnote w:type="continuationSeparator" w:id="0">
    <w:p w:rsidR="001B00BF" w:rsidRDefault="001B00B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D5F15" w:rsidRPr="003D5F1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0BF" w:rsidRDefault="001B00BF" w:rsidP="00AE0A9F">
      <w:r>
        <w:separator/>
      </w:r>
    </w:p>
  </w:footnote>
  <w:footnote w:type="continuationSeparator" w:id="0">
    <w:p w:rsidR="001B00BF" w:rsidRDefault="001B00B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4325"/>
    <w:rsid w:val="001B00BF"/>
    <w:rsid w:val="001E5C0D"/>
    <w:rsid w:val="001F0902"/>
    <w:rsid w:val="00230118"/>
    <w:rsid w:val="002605CE"/>
    <w:rsid w:val="00283C0A"/>
    <w:rsid w:val="003D5F15"/>
    <w:rsid w:val="003D73D2"/>
    <w:rsid w:val="00493C9F"/>
    <w:rsid w:val="005414F9"/>
    <w:rsid w:val="00564C76"/>
    <w:rsid w:val="005939A2"/>
    <w:rsid w:val="005B5EB6"/>
    <w:rsid w:val="006111C0"/>
    <w:rsid w:val="006A4F15"/>
    <w:rsid w:val="00726918"/>
    <w:rsid w:val="00742846"/>
    <w:rsid w:val="00767196"/>
    <w:rsid w:val="00770545"/>
    <w:rsid w:val="00850921"/>
    <w:rsid w:val="00871C2A"/>
    <w:rsid w:val="0087366C"/>
    <w:rsid w:val="008B38FF"/>
    <w:rsid w:val="008F5C16"/>
    <w:rsid w:val="009027D5"/>
    <w:rsid w:val="009433C2"/>
    <w:rsid w:val="009A0E35"/>
    <w:rsid w:val="009F5577"/>
    <w:rsid w:val="00A64BA0"/>
    <w:rsid w:val="00A91ED0"/>
    <w:rsid w:val="00AA69FC"/>
    <w:rsid w:val="00AD728E"/>
    <w:rsid w:val="00AE0A9F"/>
    <w:rsid w:val="00AE6646"/>
    <w:rsid w:val="00B16EBD"/>
    <w:rsid w:val="00BD3892"/>
    <w:rsid w:val="00C21355"/>
    <w:rsid w:val="00C503B3"/>
    <w:rsid w:val="00C86E18"/>
    <w:rsid w:val="00CC320C"/>
    <w:rsid w:val="00DD1F7D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4E3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6</cp:revision>
  <dcterms:created xsi:type="dcterms:W3CDTF">2023-05-05T12:44:00Z</dcterms:created>
  <dcterms:modified xsi:type="dcterms:W3CDTF">2023-05-05T12:53:00Z</dcterms:modified>
</cp:coreProperties>
</file>