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9EB" w:rsidRPr="00AE0A9F" w:rsidRDefault="007A49EB" w:rsidP="007A49EB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7A49EB" w:rsidRPr="00AE0A9F" w:rsidRDefault="007A49EB" w:rsidP="007A49EB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7A49EB" w:rsidRPr="00AE0A9F" w:rsidRDefault="007A49EB" w:rsidP="007A49EB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7A49EB" w:rsidRPr="00E87A62" w:rsidRDefault="007A49EB" w:rsidP="007A49EB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E87A62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Pr="00E87A62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7A49EB" w:rsidRPr="00AE0A9F" w:rsidRDefault="00B718C6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718C6">
              <w:rPr>
                <w:rFonts w:ascii="宋体" w:eastAsia="宋体" w:hAnsi="宋体" w:cs="Times New Roman" w:hint="eastAsia"/>
                <w:sz w:val="24"/>
                <w:szCs w:val="24"/>
              </w:rPr>
              <w:t>盐酸昂丹司琼片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7A49EB" w:rsidRPr="00AE0A9F" w:rsidRDefault="008A7F2D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A7F2D">
              <w:rPr>
                <w:rFonts w:ascii="Times New Roman" w:eastAsia="宋体" w:hAnsi="Times New Roman" w:cs="Times New Roman"/>
                <w:sz w:val="24"/>
                <w:szCs w:val="24"/>
              </w:rPr>
              <w:t>Ondansetron Hydrochloride Tablets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7A49EB" w:rsidRPr="00AE0A9F" w:rsidRDefault="00B91A2E" w:rsidP="00CC4B6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7A49EB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7A49EB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7A49EB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7A49EB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CC4B6D">
              <w:rPr>
                <w:rFonts w:ascii="Times New Roman" w:eastAsia="宋体" w:hAnsi="Times New Roman" w:cs="Times New Roman"/>
                <w:sz w:val="24"/>
                <w:szCs w:val="24"/>
              </w:rPr>
              <w:t>4m</w:t>
            </w:r>
            <w:r w:rsidR="007A49EB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7A49EB" w:rsidRPr="00AE0A9F" w:rsidRDefault="0090133F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013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福安药业集团宁波天衡制药有限公司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7A49EB" w:rsidRPr="00AE0A9F" w:rsidRDefault="002A330F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6B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浙江省宁波市镇海区庄市街道工三路</w:t>
            </w:r>
            <w:r w:rsidRPr="00D16B53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D16B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7A49EB" w:rsidRPr="00AE0A9F" w:rsidRDefault="006F288A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16B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福安药业集团宁波天衡制药有限公司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7A49EB" w:rsidRPr="00AE0A9F" w:rsidRDefault="004131AE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131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131AE">
              <w:rPr>
                <w:rFonts w:ascii="Times New Roman" w:eastAsia="宋体" w:hAnsi="Times New Roman" w:cs="Times New Roman"/>
                <w:sz w:val="24"/>
                <w:szCs w:val="24"/>
              </w:rPr>
              <w:t>H10960146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A49EB" w:rsidRPr="00AE0A9F" w:rsidTr="002C2497">
        <w:trPr>
          <w:trHeight w:val="445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A49EB" w:rsidRPr="00AE0A9F" w:rsidTr="002C2497">
        <w:trPr>
          <w:trHeight w:val="397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7A49EB" w:rsidRPr="00AE0A9F" w:rsidRDefault="00C039C1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039C1">
              <w:rPr>
                <w:rFonts w:ascii="Times New Roman" w:eastAsia="宋体" w:hAnsi="Times New Roman" w:cs="Times New Roman"/>
                <w:sz w:val="24"/>
                <w:szCs w:val="24"/>
              </w:rPr>
              <w:t>Y210601C11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7A49EB" w:rsidRPr="00AE0A9F" w:rsidRDefault="000E0D1D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E0D1D">
              <w:rPr>
                <w:rFonts w:ascii="宋体" w:eastAsia="宋体" w:hAnsi="宋体" w:cs="Times New Roman" w:hint="eastAsia"/>
                <w:sz w:val="24"/>
                <w:szCs w:val="24"/>
              </w:rPr>
              <w:t>福安药业集团宁波天衡制药有限公司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7A49EB" w:rsidRPr="00AE0A9F" w:rsidTr="002C2497">
        <w:trPr>
          <w:trHeight w:val="1077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7A49EB" w:rsidRPr="00AE0A9F" w:rsidRDefault="00C83E80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83E80">
              <w:rPr>
                <w:rFonts w:ascii="Times New Roman" w:eastAsia="宋体" w:hAnsi="Times New Roman" w:cs="Times New Roman"/>
                <w:sz w:val="24"/>
                <w:szCs w:val="24"/>
              </w:rPr>
              <w:t>B202100151-01</w:t>
            </w:r>
            <w:r w:rsidRPr="00C83E80">
              <w:rPr>
                <w:rFonts w:ascii="Times New Roman" w:eastAsia="宋体" w:hAnsi="Times New Roman" w:cs="Times New Roman"/>
                <w:sz w:val="24"/>
                <w:szCs w:val="24"/>
              </w:rPr>
              <w:tab/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7A49EB" w:rsidRPr="00AE0A9F" w:rsidRDefault="004906EB" w:rsidP="002C249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906EB">
              <w:rPr>
                <w:rFonts w:ascii="宋体" w:eastAsia="宋体" w:hAnsi="宋体" w:cs="Times New Roman" w:hint="eastAsia"/>
                <w:sz w:val="24"/>
                <w:szCs w:val="24"/>
              </w:rPr>
              <w:t>重庆三峡医药高等专科学校附属医院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7A49EB" w:rsidRPr="00AE0A9F" w:rsidRDefault="009241DC" w:rsidP="002C249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3691C">
              <w:rPr>
                <w:rFonts w:ascii="宋体" w:eastAsia="宋体" w:hAnsi="宋体" w:cs="Times New Roman" w:hint="eastAsia"/>
                <w:sz w:val="24"/>
                <w:szCs w:val="24"/>
              </w:rPr>
              <w:t>重庆恒誉康医药科技有限公司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7A49EB" w:rsidRPr="00AE0A9F" w:rsidRDefault="009241DC" w:rsidP="002C249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E65B6">
              <w:rPr>
                <w:rFonts w:ascii="宋体" w:eastAsia="宋体" w:hAnsi="宋体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7A49EB" w:rsidRPr="00AE0A9F" w:rsidRDefault="0076465D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6465D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采用单中心、随机、开放、两周期、两序列、双交叉、单次给药试验设计试验设计，在健康成年受试者中进行本品在空腹或高脂</w:t>
            </w:r>
            <w:proofErr w:type="gramStart"/>
            <w:r w:rsidRPr="0076465D">
              <w:rPr>
                <w:rFonts w:ascii="宋体" w:eastAsia="宋体" w:hAnsi="宋体" w:cs="Times New Roman" w:hint="eastAsia"/>
                <w:sz w:val="24"/>
                <w:szCs w:val="24"/>
              </w:rPr>
              <w:t>餐条件</w:t>
            </w:r>
            <w:proofErr w:type="gramEnd"/>
            <w:r w:rsidRPr="0076465D">
              <w:rPr>
                <w:rFonts w:ascii="宋体" w:eastAsia="宋体" w:hAnsi="宋体" w:cs="Times New Roman" w:hint="eastAsia"/>
                <w:sz w:val="24"/>
                <w:szCs w:val="24"/>
              </w:rPr>
              <w:t>下的生物等效性试验</w:t>
            </w:r>
            <w:r w:rsidR="009B7B73"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7A49EB" w:rsidRPr="00AE0A9F" w:rsidRDefault="009B7B73" w:rsidP="002C249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B7B73">
              <w:rPr>
                <w:rFonts w:ascii="宋体" w:eastAsia="宋体" w:hAnsi="宋体" w:cs="Times New Roman" w:hint="eastAsia"/>
                <w:sz w:val="24"/>
                <w:szCs w:val="24"/>
              </w:rPr>
              <w:t>血浆中昂丹司琼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7A49EB" w:rsidRDefault="007A49EB" w:rsidP="007A49EB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87A62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E87A62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E87A62">
        <w:rPr>
          <w:rFonts w:ascii="Times New Roman" w:eastAsia="宋体" w:hAnsi="Times New Roman" w:cs="Times New Roman"/>
          <w:sz w:val="24"/>
          <w:szCs w:val="24"/>
        </w:rPr>
        <w:t>（</w:t>
      </w:r>
      <w:r w:rsidR="0023287A">
        <w:rPr>
          <w:rFonts w:ascii="Times New Roman" w:eastAsia="宋体" w:hAnsi="Times New Roman" w:cs="Times New Roman"/>
          <w:sz w:val="24"/>
          <w:szCs w:val="24"/>
        </w:rPr>
        <w:t>4m</w:t>
      </w:r>
      <w:r w:rsidRPr="00E87A62">
        <w:rPr>
          <w:rFonts w:ascii="Times New Roman" w:eastAsia="宋体" w:hAnsi="Times New Roman" w:cs="Times New Roman"/>
          <w:sz w:val="24"/>
          <w:szCs w:val="24"/>
        </w:rPr>
        <w:t>g</w:t>
      </w:r>
      <w:r w:rsidRPr="00E87A62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5A749D" w:rsidRPr="005A749D">
        <w:rPr>
          <w:rFonts w:ascii="Times New Roman" w:eastAsia="宋体" w:hAnsi="Times New Roman" w:cs="Times New Roman" w:hint="eastAsia"/>
          <w:sz w:val="24"/>
          <w:szCs w:val="24"/>
        </w:rPr>
        <w:t>昂丹司琼</w:t>
      </w:r>
      <w:r w:rsidRPr="00E87A62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927EF1" w:rsidRPr="001E5C0D" w:rsidTr="00927EF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EF1" w:rsidRPr="001E5C0D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927EF1" w:rsidRPr="001E5C0D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927EF1" w:rsidRPr="00927EF1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=32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9473FD" w:rsidRPr="00927EF1" w:rsidRDefault="009473FD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927EF1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EF1" w:rsidRPr="001E5C0D" w:rsidRDefault="00927EF1" w:rsidP="002C2497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27EF1" w:rsidP="002C249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27EF1" w:rsidP="002C249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27EF1" w:rsidRPr="001E5C0D" w:rsidTr="002C249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EF1" w:rsidRPr="001E5C0D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473FD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473FD">
              <w:rPr>
                <w:rFonts w:ascii="Times New Roman" w:eastAsia="宋体" w:hAnsi="Times New Roman" w:cs="Times New Roman"/>
                <w:kern w:val="0"/>
                <w:szCs w:val="21"/>
              </w:rPr>
              <w:t>19.70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473FD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5054F">
              <w:rPr>
                <w:rFonts w:ascii="Times New Roman" w:eastAsia="宋体" w:hAnsi="Times New Roman" w:cs="Times New Roman"/>
                <w:kern w:val="0"/>
                <w:szCs w:val="21"/>
              </w:rPr>
              <w:t>19.22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473FD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5054F">
              <w:rPr>
                <w:rFonts w:ascii="Times New Roman" w:eastAsia="宋体" w:hAnsi="Times New Roman" w:cs="Times New Roman"/>
                <w:kern w:val="0"/>
                <w:szCs w:val="21"/>
              </w:rPr>
              <w:t>102.51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E5C0D" w:rsidRDefault="009473FD" w:rsidP="00E60E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5054F">
              <w:rPr>
                <w:rFonts w:ascii="Times New Roman" w:eastAsia="宋体" w:hAnsi="Times New Roman" w:cs="Times New Roman"/>
                <w:kern w:val="0"/>
                <w:szCs w:val="21"/>
              </w:rPr>
              <w:t>96.41</w:t>
            </w:r>
            <w:r w:rsidR="00E60E2A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B5054F">
              <w:rPr>
                <w:rFonts w:ascii="Times New Roman" w:eastAsia="宋体" w:hAnsi="Times New Roman" w:cs="Times New Roman"/>
                <w:kern w:val="0"/>
                <w:szCs w:val="21"/>
              </w:rPr>
              <w:t>108.99</w:t>
            </w:r>
          </w:p>
        </w:tc>
      </w:tr>
      <w:tr w:rsidR="00B5054F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5054F">
              <w:rPr>
                <w:rFonts w:ascii="Times New Roman" w:eastAsia="宋体" w:hAnsi="Times New Roman" w:cs="Times New Roman"/>
                <w:kern w:val="0"/>
                <w:szCs w:val="21"/>
              </w:rPr>
              <w:t>109.98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B5054F" w:rsidRDefault="00B5054F" w:rsidP="00B5054F">
            <w:pPr>
              <w:widowControl/>
              <w:spacing w:before="60" w:after="6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5054F">
              <w:rPr>
                <w:rFonts w:ascii="Times New Roman" w:eastAsia="宋体" w:hAnsi="Times New Roman" w:cs="Times New Roman"/>
                <w:kern w:val="0"/>
                <w:szCs w:val="21"/>
              </w:rPr>
              <w:t>111.66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5054F">
              <w:rPr>
                <w:rFonts w:ascii="Times New Roman" w:eastAsia="宋体" w:hAnsi="Times New Roman" w:cs="Times New Roman"/>
                <w:kern w:val="0"/>
                <w:szCs w:val="21"/>
              </w:rPr>
              <w:t>98.49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E60E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5054F">
              <w:rPr>
                <w:rFonts w:ascii="Times New Roman" w:eastAsia="宋体" w:hAnsi="Times New Roman" w:cs="Times New Roman"/>
                <w:kern w:val="0"/>
                <w:szCs w:val="21"/>
              </w:rPr>
              <w:t>94.79</w:t>
            </w:r>
            <w:r w:rsidR="00E60E2A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B5054F">
              <w:rPr>
                <w:rFonts w:ascii="Times New Roman" w:eastAsia="宋体" w:hAnsi="Times New Roman" w:cs="Times New Roman"/>
                <w:kern w:val="0"/>
                <w:szCs w:val="21"/>
              </w:rPr>
              <w:t>102.34</w:t>
            </w:r>
          </w:p>
        </w:tc>
      </w:tr>
      <w:tr w:rsidR="00B5054F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B5054F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5054F">
              <w:rPr>
                <w:rFonts w:ascii="Times New Roman" w:eastAsia="宋体" w:hAnsi="Times New Roman" w:cs="Times New Roman"/>
                <w:kern w:val="0"/>
                <w:szCs w:val="21"/>
              </w:rPr>
              <w:t>116.99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5054F">
              <w:rPr>
                <w:rFonts w:ascii="Times New Roman" w:eastAsia="宋体" w:hAnsi="Times New Roman" w:cs="Times New Roman"/>
                <w:kern w:val="0"/>
                <w:szCs w:val="21"/>
              </w:rPr>
              <w:t>119.31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5054F">
              <w:rPr>
                <w:rFonts w:ascii="Times New Roman" w:eastAsia="宋体" w:hAnsi="Times New Roman" w:cs="Times New Roman"/>
                <w:kern w:val="0"/>
                <w:szCs w:val="21"/>
              </w:rPr>
              <w:t>98.05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E60E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B5054F">
              <w:rPr>
                <w:rFonts w:ascii="Times New Roman" w:eastAsia="宋体" w:hAnsi="Times New Roman" w:cs="Times New Roman"/>
                <w:kern w:val="0"/>
                <w:szCs w:val="21"/>
              </w:rPr>
              <w:t>94.49</w:t>
            </w:r>
            <w:r w:rsidR="00E60E2A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B5054F">
              <w:rPr>
                <w:rFonts w:ascii="Times New Roman" w:eastAsia="宋体" w:hAnsi="Times New Roman" w:cs="Times New Roman"/>
                <w:kern w:val="0"/>
                <w:szCs w:val="21"/>
              </w:rPr>
              <w:t>101.75</w:t>
            </w:r>
          </w:p>
        </w:tc>
      </w:tr>
      <w:tr w:rsidR="00B5054F" w:rsidRPr="001E5C0D" w:rsidTr="002C2497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=32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61686B" w:rsidRPr="001E5C0D" w:rsidRDefault="0061686B" w:rsidP="00B5054F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  <w:bookmarkStart w:id="0" w:name="_GoBack"/>
            <w:bookmarkEnd w:id="0"/>
          </w:p>
        </w:tc>
      </w:tr>
      <w:tr w:rsidR="00B5054F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54F" w:rsidRPr="001E5C0D" w:rsidRDefault="00B5054F" w:rsidP="00B5054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5054F" w:rsidRPr="001E5C0D" w:rsidTr="002C249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E54162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4162">
              <w:rPr>
                <w:rFonts w:ascii="Times New Roman" w:eastAsia="宋体" w:hAnsi="Times New Roman" w:cs="Times New Roman"/>
                <w:kern w:val="0"/>
                <w:szCs w:val="21"/>
              </w:rPr>
              <w:t>15.13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E54162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4162">
              <w:rPr>
                <w:rFonts w:ascii="Times New Roman" w:eastAsia="宋体" w:hAnsi="Times New Roman" w:cs="Times New Roman"/>
                <w:kern w:val="0"/>
                <w:szCs w:val="21"/>
              </w:rPr>
              <w:t>15.37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E54162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4162">
              <w:rPr>
                <w:rFonts w:ascii="Times New Roman" w:eastAsia="宋体" w:hAnsi="Times New Roman" w:cs="Times New Roman"/>
                <w:kern w:val="0"/>
                <w:szCs w:val="21"/>
              </w:rPr>
              <w:t>98.45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E54162" w:rsidP="00E60E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4162">
              <w:rPr>
                <w:rFonts w:ascii="Times New Roman" w:eastAsia="宋体" w:hAnsi="Times New Roman" w:cs="Times New Roman"/>
                <w:kern w:val="0"/>
                <w:szCs w:val="21"/>
              </w:rPr>
              <w:t>91.34</w:t>
            </w:r>
            <w:r w:rsidR="00E60E2A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E54162">
              <w:rPr>
                <w:rFonts w:ascii="Times New Roman" w:eastAsia="宋体" w:hAnsi="Times New Roman" w:cs="Times New Roman"/>
                <w:kern w:val="0"/>
                <w:szCs w:val="21"/>
              </w:rPr>
              <w:t>106.11</w:t>
            </w:r>
          </w:p>
        </w:tc>
      </w:tr>
      <w:tr w:rsidR="00B5054F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E54162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4162">
              <w:rPr>
                <w:rFonts w:ascii="Times New Roman" w:eastAsia="宋体" w:hAnsi="Times New Roman" w:cs="Times New Roman"/>
                <w:kern w:val="0"/>
                <w:szCs w:val="21"/>
              </w:rPr>
              <w:t>105.21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E54162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4162">
              <w:rPr>
                <w:rFonts w:ascii="Times New Roman" w:eastAsia="宋体" w:hAnsi="Times New Roman" w:cs="Times New Roman"/>
                <w:kern w:val="0"/>
                <w:szCs w:val="21"/>
              </w:rPr>
              <w:t>99.58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E54162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4162">
              <w:rPr>
                <w:rFonts w:ascii="Times New Roman" w:eastAsia="宋体" w:hAnsi="Times New Roman" w:cs="Times New Roman"/>
                <w:kern w:val="0"/>
                <w:szCs w:val="21"/>
              </w:rPr>
              <w:t>105.65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E54162" w:rsidP="00E60E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4162">
              <w:rPr>
                <w:rFonts w:ascii="Times New Roman" w:eastAsia="宋体" w:hAnsi="Times New Roman" w:cs="Times New Roman"/>
                <w:kern w:val="0"/>
                <w:szCs w:val="21"/>
              </w:rPr>
              <w:t>101.98</w:t>
            </w:r>
            <w:r w:rsidR="00E60E2A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E54162">
              <w:rPr>
                <w:rFonts w:ascii="Times New Roman" w:eastAsia="宋体" w:hAnsi="Times New Roman" w:cs="Times New Roman"/>
                <w:kern w:val="0"/>
                <w:szCs w:val="21"/>
              </w:rPr>
              <w:t>109.46</w:t>
            </w:r>
          </w:p>
        </w:tc>
      </w:tr>
      <w:tr w:rsidR="00B5054F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E54162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4162">
              <w:rPr>
                <w:rFonts w:ascii="Times New Roman" w:eastAsia="宋体" w:hAnsi="Times New Roman" w:cs="Times New Roman"/>
                <w:kern w:val="0"/>
                <w:szCs w:val="21"/>
              </w:rPr>
              <w:t>112.09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E54162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4162">
              <w:rPr>
                <w:rFonts w:ascii="Times New Roman" w:eastAsia="宋体" w:hAnsi="Times New Roman" w:cs="Times New Roman"/>
                <w:kern w:val="0"/>
                <w:szCs w:val="21"/>
              </w:rPr>
              <w:t>105.73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E54162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4162">
              <w:rPr>
                <w:rFonts w:ascii="Times New Roman" w:eastAsia="宋体" w:hAnsi="Times New Roman" w:cs="Times New Roman"/>
                <w:kern w:val="0"/>
                <w:szCs w:val="21"/>
              </w:rPr>
              <w:t>106.02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E5C0D" w:rsidRDefault="00E54162" w:rsidP="00E60E2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54162">
              <w:rPr>
                <w:rFonts w:ascii="Times New Roman" w:eastAsia="宋体" w:hAnsi="Times New Roman" w:cs="Times New Roman"/>
                <w:kern w:val="0"/>
                <w:szCs w:val="21"/>
              </w:rPr>
              <w:t>102.14</w:t>
            </w:r>
            <w:r w:rsidR="00E60E2A">
              <w:rPr>
                <w:rFonts w:ascii="Times New Roman" w:eastAsia="宋体" w:hAnsi="Times New Roman" w:cs="Times New Roman"/>
                <w:kern w:val="0"/>
                <w:szCs w:val="21"/>
              </w:rPr>
              <w:t>~</w:t>
            </w:r>
            <w:r w:rsidRPr="00E54162">
              <w:rPr>
                <w:rFonts w:ascii="Times New Roman" w:eastAsia="宋体" w:hAnsi="Times New Roman" w:cs="Times New Roman"/>
                <w:kern w:val="0"/>
                <w:szCs w:val="21"/>
              </w:rPr>
              <w:t>110.05</w:t>
            </w:r>
          </w:p>
        </w:tc>
      </w:tr>
    </w:tbl>
    <w:p w:rsidR="007A49EB" w:rsidRPr="00E87A62" w:rsidRDefault="007A49EB" w:rsidP="007A49EB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E87A62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E87A62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7A49EB" w:rsidRDefault="007A49EB" w:rsidP="007A49EB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54162" w:rsidRPr="00E54162">
        <w:rPr>
          <w:rFonts w:ascii="Times New Roman" w:eastAsia="宋体" w:hAnsi="Times New Roman" w:cs="Times New Roman" w:hint="eastAsia"/>
          <w:sz w:val="24"/>
          <w:szCs w:val="24"/>
        </w:rPr>
        <w:t>福安药业集团宁波天衡制药有限公司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1A1D5A" w:rsidRPr="001A1D5A">
        <w:rPr>
          <w:rFonts w:ascii="宋体" w:eastAsia="宋体" w:hAnsi="宋体" w:cs="Times New Roman" w:hint="eastAsia"/>
          <w:sz w:val="24"/>
          <w:szCs w:val="24"/>
        </w:rPr>
        <w:t>盐酸昂丹司琼片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A1D5A">
        <w:rPr>
          <w:rFonts w:ascii="Times New Roman" w:eastAsia="宋体" w:hAnsi="Times New Roman" w:cs="Times New Roman"/>
          <w:sz w:val="24"/>
          <w:szCs w:val="24"/>
        </w:rPr>
        <w:t>4m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7A49EB" w:rsidRDefault="007A49EB" w:rsidP="007A49EB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7A49EB" w:rsidRPr="00176D46" w:rsidRDefault="007A49EB" w:rsidP="007A49EB">
      <w:pPr>
        <w:spacing w:line="360" w:lineRule="auto"/>
        <w:ind w:firstLineChars="196" w:firstLine="412"/>
      </w:pPr>
    </w:p>
    <w:p w:rsidR="00181D38" w:rsidRDefault="00181D38"/>
    <w:sectPr w:rsidR="00181D3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DF8" w:rsidRDefault="009E5DF8" w:rsidP="007A49EB">
      <w:r>
        <w:separator/>
      </w:r>
    </w:p>
  </w:endnote>
  <w:endnote w:type="continuationSeparator" w:id="0">
    <w:p w:rsidR="009E5DF8" w:rsidRDefault="009E5DF8" w:rsidP="007A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707696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1686B" w:rsidRPr="0061686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DF8" w:rsidRDefault="009E5DF8" w:rsidP="007A49EB">
      <w:r>
        <w:separator/>
      </w:r>
    </w:p>
  </w:footnote>
  <w:footnote w:type="continuationSeparator" w:id="0">
    <w:p w:rsidR="009E5DF8" w:rsidRDefault="009E5DF8" w:rsidP="007A4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B0"/>
    <w:rsid w:val="000C5757"/>
    <w:rsid w:val="000E0D1D"/>
    <w:rsid w:val="000E4C93"/>
    <w:rsid w:val="00106917"/>
    <w:rsid w:val="00162A1B"/>
    <w:rsid w:val="00181D38"/>
    <w:rsid w:val="001A1D5A"/>
    <w:rsid w:val="002153D8"/>
    <w:rsid w:val="002211D3"/>
    <w:rsid w:val="0023287A"/>
    <w:rsid w:val="002514C5"/>
    <w:rsid w:val="002A330F"/>
    <w:rsid w:val="002B098B"/>
    <w:rsid w:val="002B52B2"/>
    <w:rsid w:val="002C4732"/>
    <w:rsid w:val="002C5EAF"/>
    <w:rsid w:val="00383407"/>
    <w:rsid w:val="003A6497"/>
    <w:rsid w:val="004105F7"/>
    <w:rsid w:val="004131AE"/>
    <w:rsid w:val="0042077D"/>
    <w:rsid w:val="00422FB7"/>
    <w:rsid w:val="004551DC"/>
    <w:rsid w:val="00484419"/>
    <w:rsid w:val="004906EB"/>
    <w:rsid w:val="004A7A16"/>
    <w:rsid w:val="005328B2"/>
    <w:rsid w:val="005448B6"/>
    <w:rsid w:val="005A749D"/>
    <w:rsid w:val="005D2FB0"/>
    <w:rsid w:val="0061686B"/>
    <w:rsid w:val="006F288A"/>
    <w:rsid w:val="00707696"/>
    <w:rsid w:val="00741BBF"/>
    <w:rsid w:val="0076465D"/>
    <w:rsid w:val="007A49EB"/>
    <w:rsid w:val="007F1547"/>
    <w:rsid w:val="008600A6"/>
    <w:rsid w:val="008A2049"/>
    <w:rsid w:val="008A7F2D"/>
    <w:rsid w:val="008C55BE"/>
    <w:rsid w:val="008E5256"/>
    <w:rsid w:val="0090133F"/>
    <w:rsid w:val="00903746"/>
    <w:rsid w:val="00914096"/>
    <w:rsid w:val="009241DC"/>
    <w:rsid w:val="00927EF1"/>
    <w:rsid w:val="009354FA"/>
    <w:rsid w:val="00941F6F"/>
    <w:rsid w:val="009473FD"/>
    <w:rsid w:val="00956A87"/>
    <w:rsid w:val="009921B4"/>
    <w:rsid w:val="009B7B73"/>
    <w:rsid w:val="009E5DF8"/>
    <w:rsid w:val="00A0627F"/>
    <w:rsid w:val="00A43EB6"/>
    <w:rsid w:val="00A470D6"/>
    <w:rsid w:val="00A71E06"/>
    <w:rsid w:val="00AD4A22"/>
    <w:rsid w:val="00B06C06"/>
    <w:rsid w:val="00B12C5E"/>
    <w:rsid w:val="00B2773F"/>
    <w:rsid w:val="00B5054F"/>
    <w:rsid w:val="00B57833"/>
    <w:rsid w:val="00B700C5"/>
    <w:rsid w:val="00B718C6"/>
    <w:rsid w:val="00B91A2E"/>
    <w:rsid w:val="00BD313B"/>
    <w:rsid w:val="00BF1E91"/>
    <w:rsid w:val="00BF66F3"/>
    <w:rsid w:val="00C039C1"/>
    <w:rsid w:val="00C57407"/>
    <w:rsid w:val="00C83E80"/>
    <w:rsid w:val="00C942E2"/>
    <w:rsid w:val="00CC2708"/>
    <w:rsid w:val="00CC4B6D"/>
    <w:rsid w:val="00D275EE"/>
    <w:rsid w:val="00D3297D"/>
    <w:rsid w:val="00D653E5"/>
    <w:rsid w:val="00DE1D19"/>
    <w:rsid w:val="00DE4322"/>
    <w:rsid w:val="00DE65B6"/>
    <w:rsid w:val="00E20F77"/>
    <w:rsid w:val="00E3691C"/>
    <w:rsid w:val="00E52DE0"/>
    <w:rsid w:val="00E54162"/>
    <w:rsid w:val="00E60E2A"/>
    <w:rsid w:val="00E87A62"/>
    <w:rsid w:val="00EF394F"/>
    <w:rsid w:val="00F343B2"/>
    <w:rsid w:val="00F455B4"/>
    <w:rsid w:val="00F6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7ACE1"/>
  <w15:chartTrackingRefBased/>
  <w15:docId w15:val="{E50A7C67-0A0F-4C54-961F-48226558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9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34</cp:revision>
  <dcterms:created xsi:type="dcterms:W3CDTF">2023-04-24T06:35:00Z</dcterms:created>
  <dcterms:modified xsi:type="dcterms:W3CDTF">2023-04-24T07:51:00Z</dcterms:modified>
</cp:coreProperties>
</file>