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一致性评价企业研究报告及生物等效性试验数据</w:t>
      </w:r>
    </w:p>
    <w:p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cs="微软雅黑" w:asciiTheme="minorEastAsia" w:hAnsiTheme="minorEastAsia"/>
          <w:b/>
          <w:sz w:val="36"/>
          <w:szCs w:val="30"/>
        </w:rPr>
        <w:t>信息公开</w:t>
      </w:r>
    </w:p>
    <w:p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>
      <w:pPr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/>
          <w:b/>
          <w:sz w:val="28"/>
          <w:szCs w:val="24"/>
        </w:rPr>
        <w:t>1.</w:t>
      </w:r>
      <w:r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Style w:val="6"/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7"/>
        <w:gridCol w:w="5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甲钴胺片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Mecobalamin Tablets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片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剂   规格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  <w:lang w:val="en-US" w:eastAsia="zh-CN"/>
              </w:rPr>
              <w:t>0.5m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辰欣药业股份有限公司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济宁高新区海川路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辰欣药业股份有限公司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190" w:type="dxa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国药准字H20051425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■有工艺变更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□无工艺变更</w:t>
            </w:r>
          </w:p>
          <w:p>
            <w:pPr>
              <w:ind w:firstLine="240" w:firstLineChars="10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PD终点生物等效性研究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□临床研究</w:t>
            </w:r>
          </w:p>
          <w:p>
            <w:pPr>
              <w:ind w:firstLine="240" w:firstLineChars="1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■其它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>
            <w:pPr>
              <w:ind w:firstLine="240" w:firstLine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71" w:firstLineChars="113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不适用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70" w:type="pct"/>
            <w:vAlign w:val="center"/>
          </w:tcPr>
          <w:p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临床</w:t>
            </w:r>
            <w:r>
              <w:rPr>
                <w:rFonts w:asciiTheme="minorEastAsia" w:hAnsiTheme="minorEastAsia"/>
                <w:sz w:val="24"/>
                <w:szCs w:val="24"/>
              </w:rPr>
              <w:t>研究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豁免</w:t>
            </w:r>
            <w:r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>
            <w:pPr>
              <w:pStyle w:val="12"/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豁免人体BE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2.生物等效性研究结果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不适用。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ascii="Times New Roman" w:hAnsi="Times New Roman" w:eastAsia="宋体" w:cs="Times New Roman"/>
          <w:b/>
          <w:sz w:val="28"/>
          <w:szCs w:val="24"/>
        </w:rPr>
        <w:t>3.审评结论</w:t>
      </w:r>
    </w:p>
    <w:p>
      <w:pPr>
        <w:spacing w:line="360" w:lineRule="auto"/>
        <w:ind w:firstLine="470" w:firstLineChars="196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建议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辰欣药业股份有限公司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生产的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甲钴胺片（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规格：0.5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m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g）通过仿制药质量与疗效一致性评价。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9661010"/>
      <w:docPartObj>
        <w:docPartGallery w:val="AutoText"/>
      </w:docPartObj>
    </w:sdtPr>
    <w:sdtEndPr>
      <w:rPr>
        <w:rFonts w:hint="eastAsia" w:ascii="仿宋_GB2312" w:eastAsia="仿宋_GB2312"/>
        <w:sz w:val="24"/>
        <w:szCs w:val="24"/>
      </w:rPr>
    </w:sdtEndPr>
    <w:sdtContent>
      <w:p>
        <w:pPr>
          <w:pStyle w:val="4"/>
          <w:jc w:val="center"/>
          <w:rPr>
            <w:rFonts w:ascii="仿宋_GB2312" w:eastAsia="仿宋_GB2312"/>
            <w:sz w:val="24"/>
            <w:szCs w:val="24"/>
          </w:rPr>
        </w:pPr>
        <w:r>
          <w:rPr>
            <w:rFonts w:hint="eastAsia" w:ascii="仿宋_GB2312" w:eastAsia="仿宋_GB2312"/>
            <w:sz w:val="24"/>
            <w:szCs w:val="24"/>
          </w:rPr>
          <w:fldChar w:fldCharType="begin"/>
        </w:r>
        <w:r>
          <w:rPr>
            <w:rFonts w:hint="eastAsia" w:ascii="仿宋_GB2312" w:eastAsia="仿宋_GB2312"/>
            <w:sz w:val="24"/>
            <w:szCs w:val="24"/>
          </w:rPr>
          <w:instrText xml:space="preserve">PAGE   \* MERGEFORMAT</w:instrText>
        </w:r>
        <w:r>
          <w:rPr>
            <w:rFonts w:hint="eastAsia" w:ascii="仿宋_GB2312" w:eastAsia="仿宋_GB2312"/>
            <w:sz w:val="24"/>
            <w:szCs w:val="24"/>
          </w:rPr>
          <w:fldChar w:fldCharType="separate"/>
        </w:r>
        <w:r>
          <w:rPr>
            <w:rFonts w:ascii="仿宋_GB2312" w:eastAsia="仿宋_GB2312"/>
            <w:sz w:val="24"/>
            <w:szCs w:val="24"/>
            <w:lang w:val="zh-CN"/>
          </w:rPr>
          <w:t>2</w:t>
        </w:r>
        <w:r>
          <w:rPr>
            <w:rFonts w:hint="eastAsia" w:ascii="仿宋_GB2312" w:eastAsia="仿宋_GB2312"/>
            <w:sz w:val="24"/>
            <w:szCs w:val="24"/>
          </w:rPr>
          <w:fldChar w:fldCharType="end"/>
        </w:r>
        <w:r>
          <w:rPr>
            <w:rFonts w:hint="eastAsia" w:ascii="仿宋_GB2312" w:eastAsia="仿宋_GB2312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124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0BCA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3FC1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6075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  <w:rsid w:val="373A17C0"/>
    <w:rsid w:val="4D2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widowControl/>
      <w:spacing w:line="360" w:lineRule="auto"/>
      <w:jc w:val="left"/>
    </w:pPr>
    <w:rPr>
      <w:rFonts w:ascii="Calibri" w:hAnsi="Calibri" w:eastAsia="宋体" w:cs="Times New Roman"/>
      <w:bCs/>
      <w:kern w:val="0"/>
      <w:sz w:val="24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批注文字 字符"/>
    <w:basedOn w:val="8"/>
    <w:link w:val="2"/>
    <w:semiHidden/>
    <w:uiPriority w:val="99"/>
    <w:rPr>
      <w:rFonts w:ascii="Calibri" w:hAnsi="Calibri" w:eastAsia="宋体" w:cs="Times New Roman"/>
      <w:bCs/>
      <w:kern w:val="0"/>
      <w:sz w:val="24"/>
    </w:rPr>
  </w:style>
  <w:style w:type="character" w:customStyle="1" w:styleId="14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83BB-4BC0-4943-B804-010D2ABC65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</Words>
  <Characters>417</Characters>
  <Lines>3</Lines>
  <Paragraphs>1</Paragraphs>
  <TotalTime>2</TotalTime>
  <ScaleCrop>false</ScaleCrop>
  <LinksUpToDate>false</LinksUpToDate>
  <CharactersWithSpaces>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2020-01-07T06:08:00Z</dcterms:created>
  <dc:creator>韩鸿璨</dc:creator>
  <cp:lastModifiedBy>魏岩</cp:lastModifiedBy>
  <dcterms:modified xsi:type="dcterms:W3CDTF">2023-02-24T14:09:17Z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1324E7949977462A9FAFEF9634460AB0</vt:lpwstr>
  </property>
</Properties>
</file>