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信息公开</w:t>
      </w:r>
    </w:p>
    <w:p>
      <w:pPr>
        <w:widowControl/>
        <w:jc w:val="center"/>
        <w:rPr>
          <w:rFonts w:ascii="Times New Roman" w:hAnsi="Times New Roman" w:eastAsia="宋体" w:cs="Times New Roman"/>
          <w:sz w:val="20"/>
          <w:szCs w:val="30"/>
        </w:rPr>
      </w:pPr>
    </w:p>
    <w:p>
      <w:pPr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1.基本情况汇总表</w:t>
      </w:r>
    </w:p>
    <w:tbl>
      <w:tblPr>
        <w:tblStyle w:val="4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格列吡嗪控释片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Glipizide Extended Release Tablets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片剂   规格5mg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淄博万杰制药有限公司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淄博市博山经济技术开发区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淄博万杰制药有限公司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国药准字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H20046427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■有工艺变更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□无工艺变更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20201126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淄博万杰制药有限公司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结果符合规定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■PK终点生物等效性研究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□PD终点生物等效性研究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B202100106-01/CTR20211419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河南(郑州)中汇心血管病医院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北京海金格医药科技股份有限公司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武汉宏韧生物医药股份有限公司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  <w:t>随机、开放、两制剂、单剂量、双周期、双交叉设计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血浆中格列吡嗪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LC-MS/MS法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  <w:r>
        <w:rPr>
          <w:rFonts w:ascii="Times New Roman" w:hAnsi="Times New Roman" w:eastAsia="宋体" w:cs="Times New Roman"/>
          <w:sz w:val="24"/>
          <w:szCs w:val="24"/>
        </w:rPr>
        <w:t>（5mg规格）</w:t>
      </w:r>
    </w:p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空腹试验</w:t>
      </w:r>
      <w:r>
        <w:rPr>
          <w:rFonts w:hint="eastAsia" w:ascii="Times New Roman" w:hAnsi="Times New Roman" w:eastAsia="宋体" w:cs="Times New Roman"/>
          <w:b/>
          <w:szCs w:val="21"/>
        </w:rPr>
        <w:t>格列吡嗪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164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=80)</w:t>
            </w:r>
          </w:p>
        </w:tc>
        <w:tc>
          <w:tcPr>
            <w:tcW w:w="116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受试制剂(T)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参比制剂(R)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105.25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=80)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106.30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=79)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99.01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18.79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(94.24,104.01)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2114.47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=80)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2123.45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=79)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99.58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17.20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(95.18,104.18)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2189.17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=76)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2191.76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=73)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99.88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18.35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(94.89,105.13)</w:t>
            </w:r>
          </w:p>
        </w:tc>
      </w:tr>
    </w:tbl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餐后试验</w:t>
      </w:r>
      <w:r>
        <w:rPr>
          <w:rFonts w:hint="eastAsia" w:ascii="Times New Roman" w:hAnsi="Times New Roman" w:eastAsia="宋体" w:cs="Times New Roman"/>
          <w:b/>
          <w:szCs w:val="21"/>
        </w:rPr>
        <w:t>格列吡嗪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164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=60)</w:t>
            </w:r>
          </w:p>
        </w:tc>
        <w:tc>
          <w:tcPr>
            <w:tcW w:w="116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16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211.02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60)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188.72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58)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111.82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20.52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(105.01,119.07)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2942.66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60)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2878.73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58)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102.22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11.82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(98.56,106.02)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2982.71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60)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2926.54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#</w:t>
            </w:r>
            <w:r>
              <w:rPr>
                <w:rFonts w:ascii="Times New Roman" w:hAnsi="Times New Roman" w:eastAsia="宋体" w:cs="Times New Roman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58)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101.92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12.08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(98.18,105.80)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sz w:val="24"/>
          <w:szCs w:val="24"/>
        </w:rPr>
        <w:t>淄博万杰制药有限公司</w:t>
      </w:r>
      <w:r>
        <w:rPr>
          <w:rFonts w:ascii="Times New Roman" w:hAnsi="Times New Roman" w:eastAsia="宋体" w:cs="Times New Roman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sz w:val="24"/>
          <w:szCs w:val="24"/>
        </w:rPr>
        <w:t>格列吡嗪控释片</w:t>
      </w:r>
      <w:r>
        <w:rPr>
          <w:rFonts w:ascii="Times New Roman" w:hAnsi="Times New Roman" w:eastAsia="宋体" w:cs="Times New Roman"/>
          <w:sz w:val="24"/>
          <w:szCs w:val="24"/>
        </w:rPr>
        <w:t>（规格：5mg）通过仿制药质量和疗效一致性评价。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2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1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2605CE"/>
    <w:rsid w:val="000218CD"/>
    <w:rsid w:val="00093BA2"/>
    <w:rsid w:val="000E0BA1"/>
    <w:rsid w:val="0016015D"/>
    <w:rsid w:val="001E5C0D"/>
    <w:rsid w:val="001F0902"/>
    <w:rsid w:val="002605CE"/>
    <w:rsid w:val="003D73D2"/>
    <w:rsid w:val="00532F97"/>
    <w:rsid w:val="005939A2"/>
    <w:rsid w:val="005B5EB6"/>
    <w:rsid w:val="006111C0"/>
    <w:rsid w:val="00651C38"/>
    <w:rsid w:val="006A6B64"/>
    <w:rsid w:val="00726918"/>
    <w:rsid w:val="00742846"/>
    <w:rsid w:val="00770545"/>
    <w:rsid w:val="0082788C"/>
    <w:rsid w:val="00850921"/>
    <w:rsid w:val="008C4117"/>
    <w:rsid w:val="008F5C16"/>
    <w:rsid w:val="009433C2"/>
    <w:rsid w:val="009F5577"/>
    <w:rsid w:val="00A64BA0"/>
    <w:rsid w:val="00AD728E"/>
    <w:rsid w:val="00AE0A9F"/>
    <w:rsid w:val="00B34F23"/>
    <w:rsid w:val="00B95F30"/>
    <w:rsid w:val="00BD3892"/>
    <w:rsid w:val="00C23B66"/>
    <w:rsid w:val="00C6305F"/>
    <w:rsid w:val="00CC320C"/>
    <w:rsid w:val="00E73FD3"/>
    <w:rsid w:val="00E95FDA"/>
    <w:rsid w:val="00EC12E8"/>
    <w:rsid w:val="00F91F52"/>
    <w:rsid w:val="00F93202"/>
    <w:rsid w:val="00FA090F"/>
    <w:rsid w:val="11757C62"/>
    <w:rsid w:val="1B2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182</Words>
  <Characters>1044</Characters>
  <Lines>8</Lines>
  <Paragraphs>2</Paragraphs>
  <TotalTime>0</TotalTime>
  <ScaleCrop>false</ScaleCrop>
  <LinksUpToDate>false</LinksUpToDate>
  <CharactersWithSpaces>1224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2023-02-14T01:52:00Z</dcterms:created>
  <dc:creator>闫方</dc:creator>
  <cp:lastModifiedBy>魏岩</cp:lastModifiedBy>
  <dcterms:modified xsi:type="dcterms:W3CDTF">2023-02-24T14:14:26Z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44B22D26EA874671A5FFBB8E40D795E9</vt:lpwstr>
  </property>
</Properties>
</file>