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EA3C4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布洛芬缓释胶囊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EA3C4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C4B">
              <w:rPr>
                <w:rFonts w:ascii="Times New Roman" w:hAnsi="Times New Roman" w:cs="Times New Roman"/>
                <w:sz w:val="24"/>
                <w:szCs w:val="24"/>
              </w:rPr>
              <w:t>Ibuprofen Sustained-release Capsules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EA3C4B" w:rsidP="00EA3C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0.3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EA3C4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吉林省</w:t>
            </w:r>
            <w:proofErr w:type="gramStart"/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百年六</w:t>
            </w:r>
            <w:proofErr w:type="gramEnd"/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福堂药业有限公司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EA3C4B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长春九台经济开发区兴北路南丙五路西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EA3C4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吉林省</w:t>
            </w:r>
            <w:proofErr w:type="gramStart"/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百年六</w:t>
            </w:r>
            <w:proofErr w:type="gramEnd"/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福堂药业有限公司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EA3C4B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H22026812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EA3C4B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A3C4B">
              <w:rPr>
                <w:rFonts w:ascii="Times New Roman" w:hAnsi="Times New Roman" w:cs="Times New Roman"/>
                <w:sz w:val="24"/>
                <w:szCs w:val="24"/>
              </w:rPr>
              <w:t>20190608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EA3C4B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吉林省</w:t>
            </w:r>
            <w:proofErr w:type="gramStart"/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百年六</w:t>
            </w:r>
            <w:proofErr w:type="gramEnd"/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福堂药业有限公司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EA3C4B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A3C4B">
              <w:rPr>
                <w:rFonts w:ascii="Times New Roman" w:hAnsi="Times New Roman" w:cs="Times New Roman"/>
                <w:sz w:val="24"/>
                <w:szCs w:val="24"/>
              </w:rPr>
              <w:t>B201900278-01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EA3C4B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邢台医学高等专科学校第二附属医院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EA3C4B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浙江太美医疗科技股份有限公司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EA3C4B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苏州旭辉检测有限公司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EA3C4B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单中心、随机、开放、单剂量、两周期交叉给药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EA3C4B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C4B">
              <w:rPr>
                <w:rFonts w:ascii="Times New Roman" w:hAnsi="Times New Roman" w:cs="Times New Roman" w:hint="eastAsia"/>
                <w:sz w:val="24"/>
                <w:szCs w:val="24"/>
              </w:rPr>
              <w:t>布洛芬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EA3C4B" w:rsidRPr="00EA3C4B">
        <w:rPr>
          <w:rFonts w:ascii="Times New Roman" w:eastAsia="宋体" w:hAnsi="Times New Roman" w:cs="Times New Roman" w:hint="eastAsia"/>
          <w:sz w:val="24"/>
          <w:szCs w:val="24"/>
        </w:rPr>
        <w:t>布洛芬缓释胶囊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DC5804">
        <w:rPr>
          <w:rFonts w:ascii="Times New Roman" w:eastAsia="宋体" w:hAnsi="Times New Roman" w:cs="Times New Roman"/>
          <w:sz w:val="24"/>
          <w:szCs w:val="24"/>
        </w:rPr>
        <w:t>0.</w:t>
      </w:r>
      <w:r w:rsidR="00EA3C4B">
        <w:rPr>
          <w:rFonts w:ascii="Times New Roman" w:eastAsia="宋体" w:hAnsi="Times New Roman" w:cs="Times New Roman"/>
          <w:sz w:val="24"/>
          <w:szCs w:val="24"/>
        </w:rPr>
        <w:t>3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EA3C4B">
        <w:rPr>
          <w:rFonts w:ascii="Times New Roman" w:eastAsia="宋体" w:hAnsi="Times New Roman" w:cs="Times New Roman" w:hint="eastAsia"/>
          <w:sz w:val="24"/>
          <w:szCs w:val="24"/>
        </w:rPr>
        <w:t>布洛芬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885" w:type="pct"/>
        <w:jc w:val="center"/>
        <w:tblLook w:val="04A0" w:firstRow="1" w:lastRow="0" w:firstColumn="1" w:lastColumn="0" w:noHBand="0" w:noVBand="1"/>
      </w:tblPr>
      <w:tblGrid>
        <w:gridCol w:w="697"/>
        <w:gridCol w:w="2045"/>
        <w:gridCol w:w="973"/>
        <w:gridCol w:w="973"/>
        <w:gridCol w:w="1687"/>
        <w:gridCol w:w="1730"/>
      </w:tblGrid>
      <w:tr w:rsidR="007221C7" w:rsidRPr="001038EE" w:rsidTr="007221C7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EA3C4B">
              <w:rPr>
                <w:rFonts w:ascii="Times New Roman" w:eastAsiaTheme="minorEastAsia" w:hAnsi="Times New Roman"/>
                <w:sz w:val="21"/>
                <w:szCs w:val="21"/>
              </w:rPr>
              <w:t>28</w:t>
            </w:r>
          </w:p>
        </w:tc>
        <w:tc>
          <w:tcPr>
            <w:tcW w:w="1262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41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7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221C7" w:rsidRPr="001038EE" w:rsidTr="007221C7">
        <w:trPr>
          <w:trHeight w:val="425"/>
          <w:jc w:val="center"/>
        </w:trPr>
        <w:tc>
          <w:tcPr>
            <w:tcW w:w="430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41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7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A3C4B" w:rsidRPr="001038EE" w:rsidTr="00F730CB">
        <w:trPr>
          <w:trHeight w:val="425"/>
          <w:jc w:val="center"/>
        </w:trPr>
        <w:tc>
          <w:tcPr>
            <w:tcW w:w="430" w:type="pct"/>
            <w:vMerge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EA3C4B" w:rsidRPr="00D7147B" w:rsidRDefault="00EA3C4B" w:rsidP="00EA3C4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EA3C4B">
              <w:rPr>
                <w:rFonts w:ascii="Times New Roman" w:hAnsi="Times New Roman"/>
                <w:sz w:val="21"/>
                <w:szCs w:val="21"/>
              </w:rPr>
              <w:t>μ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A3C4B" w:rsidRPr="00EA3C4B" w:rsidRDefault="00EA3C4B" w:rsidP="00EA3C4B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104.4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A3C4B" w:rsidRPr="00EA3C4B" w:rsidRDefault="00EA3C4B" w:rsidP="00EA3C4B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107.2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EA3C4B" w:rsidRPr="00EA3C4B" w:rsidRDefault="00EA3C4B" w:rsidP="00EA3C4B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97.32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EA3C4B" w:rsidRPr="00EA3C4B" w:rsidRDefault="00EA3C4B" w:rsidP="00EA3C4B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94.71</w:t>
            </w:r>
            <w:r>
              <w:rPr>
                <w:color w:val="000000"/>
                <w:sz w:val="21"/>
                <w:szCs w:val="21"/>
              </w:rPr>
              <w:t>%~</w:t>
            </w:r>
            <w:r w:rsidRPr="00EA3C4B">
              <w:rPr>
                <w:color w:val="000000"/>
                <w:sz w:val="21"/>
                <w:szCs w:val="21"/>
              </w:rPr>
              <w:t>100.01</w:t>
            </w:r>
            <w:r>
              <w:rPr>
                <w:color w:val="000000"/>
                <w:sz w:val="21"/>
                <w:szCs w:val="21"/>
              </w:rPr>
              <w:t>%</w:t>
            </w:r>
          </w:p>
        </w:tc>
      </w:tr>
      <w:tr w:rsidR="00EA3C4B" w:rsidRPr="001038EE" w:rsidTr="00F730CB">
        <w:trPr>
          <w:trHeight w:val="425"/>
          <w:jc w:val="center"/>
        </w:trPr>
        <w:tc>
          <w:tcPr>
            <w:tcW w:w="430" w:type="pct"/>
            <w:vMerge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EA3C4B" w:rsidRPr="00D7147B" w:rsidRDefault="00EA3C4B" w:rsidP="00EA3C4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EA3C4B">
              <w:rPr>
                <w:rFonts w:ascii="Times New Roman" w:hAnsi="Times New Roman"/>
                <w:sz w:val="21"/>
                <w:szCs w:val="21"/>
              </w:rPr>
              <w:t>μ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A3C4B" w:rsidRPr="00EA3C4B" w:rsidRDefault="00EA3C4B" w:rsidP="00EA3C4B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109.9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A3C4B" w:rsidRPr="00EA3C4B" w:rsidRDefault="00EA3C4B" w:rsidP="00EA3C4B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112.9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EA3C4B" w:rsidRPr="00EA3C4B" w:rsidRDefault="00EA3C4B" w:rsidP="00EA3C4B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97.29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EA3C4B" w:rsidRPr="00EA3C4B" w:rsidRDefault="00EA3C4B" w:rsidP="00EA3C4B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93.95</w:t>
            </w:r>
            <w:r>
              <w:rPr>
                <w:color w:val="000000"/>
                <w:sz w:val="21"/>
                <w:szCs w:val="21"/>
              </w:rPr>
              <w:t>%~</w:t>
            </w:r>
            <w:r w:rsidRPr="00EA3C4B">
              <w:rPr>
                <w:color w:val="000000"/>
                <w:sz w:val="21"/>
                <w:szCs w:val="21"/>
              </w:rPr>
              <w:t>100.76</w:t>
            </w:r>
            <w:r>
              <w:rPr>
                <w:color w:val="000000"/>
                <w:sz w:val="21"/>
                <w:szCs w:val="21"/>
              </w:rPr>
              <w:t>%</w:t>
            </w:r>
          </w:p>
        </w:tc>
      </w:tr>
      <w:tr w:rsidR="00EA3C4B" w:rsidRPr="001038EE" w:rsidTr="0082025D">
        <w:trPr>
          <w:trHeight w:val="425"/>
          <w:jc w:val="center"/>
        </w:trPr>
        <w:tc>
          <w:tcPr>
            <w:tcW w:w="430" w:type="pct"/>
            <w:vMerge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EA3C4B" w:rsidRPr="00D7147B" w:rsidRDefault="00EA3C4B" w:rsidP="00EA3C4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EA3C4B">
              <w:rPr>
                <w:rFonts w:ascii="Times New Roman" w:hAnsi="Times New Roman"/>
                <w:sz w:val="21"/>
                <w:szCs w:val="21"/>
              </w:rPr>
              <w:t>μ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A3C4B" w:rsidRPr="00EA3C4B" w:rsidRDefault="00EA3C4B" w:rsidP="00EA3C4B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EA3C4B">
              <w:rPr>
                <w:sz w:val="21"/>
                <w:szCs w:val="21"/>
              </w:rPr>
              <w:t>13.6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A3C4B" w:rsidRPr="00EA3C4B" w:rsidRDefault="00EA3C4B" w:rsidP="00EA3C4B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EA3C4B">
              <w:rPr>
                <w:sz w:val="21"/>
                <w:szCs w:val="21"/>
              </w:rPr>
              <w:t>13.6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EA3C4B" w:rsidRPr="00EA3C4B" w:rsidRDefault="00EA3C4B" w:rsidP="00EA3C4B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100.24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EA3C4B" w:rsidRPr="00EA3C4B" w:rsidRDefault="00EA3C4B" w:rsidP="00EA3C4B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93.31</w:t>
            </w:r>
            <w:r>
              <w:rPr>
                <w:color w:val="000000"/>
                <w:sz w:val="21"/>
                <w:szCs w:val="21"/>
              </w:rPr>
              <w:t>%~</w:t>
            </w:r>
            <w:r w:rsidRPr="00EA3C4B">
              <w:rPr>
                <w:color w:val="000000"/>
                <w:sz w:val="21"/>
                <w:szCs w:val="21"/>
              </w:rPr>
              <w:t>107.68</w:t>
            </w:r>
            <w:r>
              <w:rPr>
                <w:color w:val="000000"/>
                <w:sz w:val="21"/>
                <w:szCs w:val="21"/>
              </w:rPr>
              <w:t>%</w:t>
            </w:r>
          </w:p>
        </w:tc>
      </w:tr>
      <w:tr w:rsidR="00EA3C4B" w:rsidRPr="001038EE" w:rsidTr="007221C7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</w:p>
        </w:tc>
        <w:tc>
          <w:tcPr>
            <w:tcW w:w="1262" w:type="pct"/>
            <w:vMerge w:val="restart"/>
            <w:vAlign w:val="center"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</w:tcBorders>
            <w:vAlign w:val="center"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7" w:type="pct"/>
            <w:vMerge w:val="restart"/>
            <w:tcBorders>
              <w:top w:val="single" w:sz="4" w:space="0" w:color="auto"/>
            </w:tcBorders>
            <w:vAlign w:val="center"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EA3C4B" w:rsidRPr="001038EE" w:rsidTr="007221C7">
        <w:trPr>
          <w:trHeight w:val="425"/>
          <w:jc w:val="center"/>
        </w:trPr>
        <w:tc>
          <w:tcPr>
            <w:tcW w:w="430" w:type="pct"/>
            <w:vMerge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Merge/>
            <w:vAlign w:val="center"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41" w:type="pct"/>
            <w:tcBorders>
              <w:bottom w:val="single" w:sz="4" w:space="0" w:color="auto"/>
            </w:tcBorders>
            <w:vAlign w:val="center"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7" w:type="pct"/>
            <w:vMerge/>
            <w:tcBorders>
              <w:bottom w:val="single" w:sz="4" w:space="0" w:color="auto"/>
            </w:tcBorders>
            <w:vAlign w:val="center"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A3C4B" w:rsidRPr="001038EE" w:rsidTr="00B04018">
        <w:trPr>
          <w:trHeight w:val="425"/>
          <w:jc w:val="center"/>
        </w:trPr>
        <w:tc>
          <w:tcPr>
            <w:tcW w:w="430" w:type="pct"/>
            <w:vMerge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EA3C4B" w:rsidRPr="00D7147B" w:rsidRDefault="00EA3C4B" w:rsidP="00EA3C4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EA3C4B">
              <w:rPr>
                <w:rFonts w:ascii="Times New Roman" w:hAnsi="Times New Roman"/>
                <w:sz w:val="21"/>
                <w:szCs w:val="21"/>
              </w:rPr>
              <w:t>μ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A3C4B" w:rsidRPr="00EA3C4B" w:rsidRDefault="00EA3C4B" w:rsidP="00EA3C4B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93.2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A3C4B" w:rsidRPr="00EA3C4B" w:rsidRDefault="00EA3C4B" w:rsidP="00EA3C4B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93.6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EA3C4B" w:rsidRPr="00EA3C4B" w:rsidRDefault="00EA3C4B" w:rsidP="00EA3C4B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99.60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EA3C4B" w:rsidRPr="00EA3C4B" w:rsidRDefault="00EA3C4B" w:rsidP="00EA3C4B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97.55</w:t>
            </w:r>
            <w:r>
              <w:rPr>
                <w:color w:val="000000"/>
                <w:sz w:val="21"/>
                <w:szCs w:val="21"/>
              </w:rPr>
              <w:t>%~</w:t>
            </w:r>
            <w:r w:rsidRPr="00EA3C4B">
              <w:rPr>
                <w:color w:val="000000"/>
                <w:sz w:val="21"/>
                <w:szCs w:val="21"/>
              </w:rPr>
              <w:t>101.69</w:t>
            </w:r>
            <w:r>
              <w:rPr>
                <w:color w:val="000000"/>
                <w:sz w:val="21"/>
                <w:szCs w:val="21"/>
              </w:rPr>
              <w:t>%</w:t>
            </w:r>
          </w:p>
        </w:tc>
      </w:tr>
      <w:tr w:rsidR="00EA3C4B" w:rsidRPr="001038EE" w:rsidTr="00B04018">
        <w:trPr>
          <w:trHeight w:val="425"/>
          <w:jc w:val="center"/>
        </w:trPr>
        <w:tc>
          <w:tcPr>
            <w:tcW w:w="430" w:type="pct"/>
            <w:vMerge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EA3C4B" w:rsidRPr="00D7147B" w:rsidRDefault="00EA3C4B" w:rsidP="00EA3C4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EA3C4B">
              <w:rPr>
                <w:rFonts w:ascii="Times New Roman" w:hAnsi="Times New Roman"/>
                <w:sz w:val="21"/>
                <w:szCs w:val="21"/>
              </w:rPr>
              <w:t>μ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A3C4B" w:rsidRPr="00EA3C4B" w:rsidRDefault="00EA3C4B" w:rsidP="00EA3C4B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94.6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A3C4B" w:rsidRPr="00EA3C4B" w:rsidRDefault="00EA3C4B" w:rsidP="00EA3C4B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94.7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EA3C4B" w:rsidRPr="00EA3C4B" w:rsidRDefault="00EA3C4B" w:rsidP="00EA3C4B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99.88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EA3C4B" w:rsidRPr="00EA3C4B" w:rsidRDefault="00EA3C4B" w:rsidP="00EA3C4B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97.91%~101.89%</w:t>
            </w:r>
          </w:p>
        </w:tc>
      </w:tr>
      <w:tr w:rsidR="00EA3C4B" w:rsidRPr="001038EE" w:rsidTr="002432D5">
        <w:trPr>
          <w:trHeight w:val="425"/>
          <w:jc w:val="center"/>
        </w:trPr>
        <w:tc>
          <w:tcPr>
            <w:tcW w:w="430" w:type="pct"/>
            <w:vMerge/>
          </w:tcPr>
          <w:p w:rsidR="00EA3C4B" w:rsidRPr="001038EE" w:rsidRDefault="00EA3C4B" w:rsidP="00EA3C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EA3C4B" w:rsidRPr="00D7147B" w:rsidRDefault="00EA3C4B" w:rsidP="00EA3C4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EA3C4B">
              <w:rPr>
                <w:rFonts w:ascii="Times New Roman" w:hAnsi="Times New Roman"/>
                <w:sz w:val="21"/>
                <w:szCs w:val="21"/>
              </w:rPr>
              <w:t>μ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A3C4B" w:rsidRPr="00EA3C4B" w:rsidRDefault="00EA3C4B" w:rsidP="00EA3C4B">
            <w:pPr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15.8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A3C4B" w:rsidRPr="00EA3C4B" w:rsidRDefault="00EA3C4B" w:rsidP="00EA3C4B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15.8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EA3C4B" w:rsidRPr="00EA3C4B" w:rsidRDefault="00EA3C4B" w:rsidP="00EA3C4B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EA3C4B">
              <w:rPr>
                <w:color w:val="000000"/>
                <w:sz w:val="21"/>
                <w:szCs w:val="21"/>
              </w:rPr>
              <w:t>100.01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EA3C4B" w:rsidRPr="00EA3C4B" w:rsidRDefault="00EA3C4B" w:rsidP="00EA3C4B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94.51%~105.83%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902D05" w:rsidRPr="00902D05">
        <w:rPr>
          <w:rFonts w:ascii="Times New Roman" w:eastAsia="宋体" w:hAnsi="Times New Roman" w:cs="Times New Roman" w:hint="eastAsia"/>
          <w:sz w:val="24"/>
          <w:szCs w:val="24"/>
        </w:rPr>
        <w:t>吉林省百年六福堂药业有限公司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902D05" w:rsidRPr="00902D05">
        <w:rPr>
          <w:rFonts w:ascii="Times New Roman" w:eastAsia="宋体" w:hAnsi="Times New Roman" w:cs="Times New Roman" w:hint="eastAsia"/>
          <w:sz w:val="24"/>
          <w:szCs w:val="24"/>
        </w:rPr>
        <w:t>布洛芬缓释胶囊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902D05" w:rsidRPr="00902D05">
        <w:rPr>
          <w:rFonts w:ascii="Times New Roman" w:eastAsia="宋体" w:hAnsi="Times New Roman" w:cs="Times New Roman"/>
          <w:sz w:val="24"/>
          <w:szCs w:val="24"/>
        </w:rPr>
        <w:t>0.3g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  <w:bookmarkStart w:id="2" w:name="_GoBack"/>
      <w:bookmarkEnd w:id="2"/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09F" w:rsidRDefault="00C9309F" w:rsidP="00D45C81">
      <w:r>
        <w:separator/>
      </w:r>
    </w:p>
  </w:endnote>
  <w:endnote w:type="continuationSeparator" w:id="0">
    <w:p w:rsidR="00C9309F" w:rsidRDefault="00C9309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02D05" w:rsidRPr="00902D05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09F" w:rsidRDefault="00C9309F" w:rsidP="00D45C81">
      <w:r>
        <w:separator/>
      </w:r>
    </w:p>
  </w:footnote>
  <w:footnote w:type="continuationSeparator" w:id="0">
    <w:p w:rsidR="00C9309F" w:rsidRDefault="00C9309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2F37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06D3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45AE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21C7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74C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2D05"/>
    <w:rsid w:val="009035F8"/>
    <w:rsid w:val="00923948"/>
    <w:rsid w:val="0093170A"/>
    <w:rsid w:val="00937338"/>
    <w:rsid w:val="009427A3"/>
    <w:rsid w:val="009462EB"/>
    <w:rsid w:val="00946501"/>
    <w:rsid w:val="00950AEC"/>
    <w:rsid w:val="009623A1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9F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285F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804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3C4B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D9A2C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D5662-8780-4662-A0E5-67EA1E127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5</cp:revision>
  <dcterms:created xsi:type="dcterms:W3CDTF">2022-09-01T06:36:00Z</dcterms:created>
  <dcterms:modified xsi:type="dcterms:W3CDTF">2022-09-01T09:48:00Z</dcterms:modified>
</cp:coreProperties>
</file>