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EC634D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EC634D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EC634D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EC634D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EC634D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EC634D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EC634D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EC634D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EC634D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EC634D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C634D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634D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EC634D" w:rsidRDefault="00E94FC7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EC634D">
              <w:rPr>
                <w:rFonts w:ascii="Times New Roman" w:hAnsi="Times New Roman"/>
                <w:sz w:val="24"/>
                <w:szCs w:val="24"/>
              </w:rPr>
              <w:t>盐酸二甲双</w:t>
            </w:r>
            <w:proofErr w:type="gramStart"/>
            <w:r w:rsidRPr="00EC634D">
              <w:rPr>
                <w:rFonts w:ascii="Times New Roman" w:hAnsi="Times New Roman"/>
                <w:sz w:val="24"/>
                <w:szCs w:val="24"/>
              </w:rPr>
              <w:t>胍</w:t>
            </w:r>
            <w:proofErr w:type="gramEnd"/>
            <w:r w:rsidRPr="00EC634D">
              <w:rPr>
                <w:rFonts w:ascii="Times New Roman" w:hAnsi="Times New Roman"/>
                <w:sz w:val="24"/>
                <w:szCs w:val="24"/>
              </w:rPr>
              <w:t>片</w:t>
            </w:r>
          </w:p>
        </w:tc>
      </w:tr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C634D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C634D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EC634D" w:rsidRDefault="00951E72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4D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Tablets</w:t>
            </w:r>
          </w:p>
        </w:tc>
      </w:tr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1289F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F1289F" w:rsidRDefault="00F808FB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片剂，</w:t>
            </w:r>
            <w:r w:rsidR="00E94FC7" w:rsidRPr="00F1289F">
              <w:rPr>
                <w:rFonts w:ascii="Times New Roman" w:hAnsi="Times New Roman"/>
                <w:sz w:val="24"/>
                <w:szCs w:val="24"/>
              </w:rPr>
              <w:t>0.</w:t>
            </w:r>
            <w:r w:rsidR="00951E72" w:rsidRPr="00F1289F">
              <w:rPr>
                <w:rFonts w:ascii="Times New Roman" w:hAnsi="Times New Roman"/>
                <w:sz w:val="24"/>
                <w:szCs w:val="24"/>
              </w:rPr>
              <w:t>2</w:t>
            </w:r>
            <w:r w:rsidR="00E94FC7" w:rsidRPr="00F1289F">
              <w:rPr>
                <w:rFonts w:ascii="Times New Roman" w:hAnsi="Times New Roman"/>
                <w:sz w:val="24"/>
                <w:szCs w:val="24"/>
              </w:rPr>
              <w:t>5g</w:t>
            </w:r>
          </w:p>
        </w:tc>
      </w:tr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1289F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F1289F" w:rsidRDefault="00F1289F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北京市永康药业有限公司</w:t>
            </w:r>
          </w:p>
        </w:tc>
      </w:tr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1289F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F1289F" w:rsidRDefault="00F1289F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北京市房山区城关街道顾八路三区</w:t>
            </w:r>
            <w:r w:rsidRPr="00F1289F">
              <w:rPr>
                <w:rFonts w:ascii="Times New Roman" w:hAnsi="Times New Roman"/>
                <w:sz w:val="24"/>
                <w:szCs w:val="24"/>
              </w:rPr>
              <w:t>2</w:t>
            </w:r>
            <w:r w:rsidRPr="00F1289F"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</w:tr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1289F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F1289F" w:rsidRDefault="00F1289F" w:rsidP="00F1289F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1289F">
              <w:rPr>
                <w:rFonts w:ascii="Times New Roman" w:hAnsi="Times New Roman" w:hint="eastAsia"/>
                <w:sz w:val="24"/>
                <w:szCs w:val="24"/>
              </w:rPr>
              <w:t>北京市永康药业有限公司</w:t>
            </w:r>
          </w:p>
        </w:tc>
      </w:tr>
      <w:tr w:rsidR="00B11091" w:rsidRPr="00EC634D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6D7118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D7118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6D7118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6D7118" w:rsidRDefault="00A45585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6D7118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="006D7118" w:rsidRPr="006D7118">
              <w:rPr>
                <w:rFonts w:ascii="Times New Roman" w:hAnsi="Times New Roman"/>
                <w:sz w:val="24"/>
                <w:szCs w:val="24"/>
              </w:rPr>
              <w:t>H11020596</w:t>
            </w:r>
          </w:p>
        </w:tc>
      </w:tr>
      <w:tr w:rsidR="00B11091" w:rsidRPr="00EC634D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B2477F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477F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B2477F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B2477F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B2477F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EC634D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B2477F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477F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B2477F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2477F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B2477F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B2477F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B2477F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2477F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B2477F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B2477F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B2477F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EC634D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EC634D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2477F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B2477F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EC634D" w:rsidRDefault="00397303" w:rsidP="00397303">
            <w:pPr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97303">
              <w:rPr>
                <w:rFonts w:ascii="Times New Roman" w:hAnsi="Times New Roman"/>
                <w:sz w:val="24"/>
                <w:szCs w:val="24"/>
              </w:rPr>
              <w:t>18040478</w:t>
            </w:r>
          </w:p>
        </w:tc>
      </w:tr>
      <w:tr w:rsidR="00B11C80" w:rsidRPr="00EC634D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550318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50318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550318" w:rsidRDefault="00A574BB" w:rsidP="00D91CF3">
            <w:pPr>
              <w:ind w:firstLineChars="100" w:firstLine="240"/>
              <w:rPr>
                <w:rFonts w:ascii="Times New Roman" w:hAnsi="Times New Roman" w:hint="eastAsia"/>
                <w:sz w:val="24"/>
                <w:szCs w:val="24"/>
              </w:rPr>
            </w:pPr>
            <w:bookmarkStart w:id="0" w:name="_GoBack"/>
            <w:bookmarkEnd w:id="0"/>
            <w:r w:rsidRPr="00550318">
              <w:rPr>
                <w:rFonts w:ascii="Times New Roman" w:hAnsi="Times New Roman" w:hint="eastAsia"/>
                <w:sz w:val="24"/>
                <w:szCs w:val="24"/>
              </w:rPr>
              <w:t>北京市药品</w:t>
            </w:r>
            <w:r w:rsidRPr="00550318">
              <w:rPr>
                <w:rFonts w:ascii="Times New Roman" w:hAnsi="Times New Roman"/>
                <w:sz w:val="24"/>
                <w:szCs w:val="24"/>
              </w:rPr>
              <w:t>检验研究院</w:t>
            </w:r>
          </w:p>
        </w:tc>
      </w:tr>
      <w:tr w:rsidR="00B11C80" w:rsidRPr="00EC634D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550318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50318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550318" w:rsidRDefault="00A574BB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50318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B11091" w:rsidRPr="00EC634D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8D724B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724B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8D724B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8D724B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8D724B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8D724B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8D724B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8D724B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8D724B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8D724B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8D724B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8D724B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8D724B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8D724B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8D724B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8D724B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8D724B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EC634D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EC634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A24C7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DA24C7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DA24C7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A24C7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DA24C7" w:rsidRDefault="00DA24C7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DA24C7">
              <w:rPr>
                <w:rFonts w:ascii="Times New Roman" w:hAnsi="Times New Roman" w:hint="eastAsia"/>
                <w:sz w:val="24"/>
                <w:szCs w:val="24"/>
              </w:rPr>
              <w:t>B201900207-01</w:t>
            </w:r>
          </w:p>
        </w:tc>
      </w:tr>
      <w:tr w:rsidR="00B11091" w:rsidRPr="00EC634D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5F18FC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F18FC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5F18FC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5F18FC" w:rsidRDefault="005F18FC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5F18FC">
              <w:rPr>
                <w:rFonts w:ascii="Times New Roman" w:hAnsi="Times New Roman"/>
                <w:sz w:val="24"/>
                <w:szCs w:val="24"/>
              </w:rPr>
              <w:t>重庆医科大学附属第一医院</w:t>
            </w:r>
          </w:p>
        </w:tc>
      </w:tr>
      <w:tr w:rsidR="00B11091" w:rsidRPr="00EC634D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5F18FC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F18FC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5F18FC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5F18FC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5F18FC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5F18FC" w:rsidRDefault="005F18FC" w:rsidP="00DE2F8D">
            <w:pPr>
              <w:rPr>
                <w:rFonts w:ascii="Times New Roman" w:hAnsi="Times New Roman"/>
                <w:sz w:val="24"/>
                <w:szCs w:val="24"/>
              </w:rPr>
            </w:pPr>
            <w:r w:rsidRPr="005F18FC">
              <w:rPr>
                <w:rFonts w:ascii="Times New Roman" w:hAnsi="Times New Roman" w:hint="eastAsia"/>
                <w:sz w:val="24"/>
                <w:szCs w:val="24"/>
              </w:rPr>
              <w:t>北京博之</w:t>
            </w:r>
            <w:proofErr w:type="gramStart"/>
            <w:r w:rsidRPr="005F18FC">
              <w:rPr>
                <w:rFonts w:ascii="Times New Roman" w:hAnsi="Times New Roman" w:hint="eastAsia"/>
                <w:sz w:val="24"/>
                <w:szCs w:val="24"/>
              </w:rPr>
              <w:t>音科技</w:t>
            </w:r>
            <w:proofErr w:type="gramEnd"/>
            <w:r w:rsidRPr="005F18FC">
              <w:rPr>
                <w:rFonts w:ascii="Times New Roman" w:hAnsi="Times New Roman" w:hint="eastAsia"/>
                <w:sz w:val="24"/>
                <w:szCs w:val="24"/>
              </w:rPr>
              <w:t>有限公司</w:t>
            </w:r>
          </w:p>
        </w:tc>
      </w:tr>
      <w:tr w:rsidR="00B11091" w:rsidRPr="00EC634D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5F18FC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F18FC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5F18FC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5F18FC" w:rsidRDefault="005F18FC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5F18FC">
              <w:rPr>
                <w:rFonts w:ascii="Times New Roman" w:hAnsi="Times New Roman"/>
                <w:sz w:val="24"/>
                <w:szCs w:val="24"/>
              </w:rPr>
              <w:t>万舒（北京）医药科技有限公司</w:t>
            </w:r>
          </w:p>
        </w:tc>
      </w:tr>
      <w:tr w:rsidR="0024032F" w:rsidRPr="00EC634D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172938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72938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B724F" w:rsidRPr="00172938" w:rsidRDefault="00172938" w:rsidP="00172938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172938">
              <w:rPr>
                <w:rFonts w:ascii="Times New Roman" w:hAnsi="Times New Roman"/>
                <w:sz w:val="24"/>
                <w:szCs w:val="24"/>
              </w:rPr>
              <w:t>本试验为健康成年受试者中单次空腹</w:t>
            </w:r>
            <w:r w:rsidRPr="00172938">
              <w:rPr>
                <w:rFonts w:ascii="Times New Roman" w:hAnsi="Times New Roman"/>
                <w:sz w:val="24"/>
                <w:szCs w:val="24"/>
              </w:rPr>
              <w:t>/</w:t>
            </w:r>
            <w:r w:rsidRPr="00172938">
              <w:rPr>
                <w:rFonts w:ascii="Times New Roman" w:hAnsi="Times New Roman"/>
                <w:sz w:val="24"/>
                <w:szCs w:val="24"/>
              </w:rPr>
              <w:t>餐后状态口服给药的随机、开放、两周期、两制剂、两序列、交叉设计生物等效性试验。</w:t>
            </w:r>
          </w:p>
        </w:tc>
      </w:tr>
      <w:tr w:rsidR="0024032F" w:rsidRPr="00EC634D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2C01B5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C01B5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2C01B5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C01B5">
              <w:rPr>
                <w:rFonts w:ascii="Times New Roman" w:eastAsiaTheme="minorEastAsia" w:hAnsi="Times New Roman" w:hint="eastAsia"/>
                <w:sz w:val="24"/>
                <w:szCs w:val="24"/>
              </w:rPr>
              <w:t>二甲双</w:t>
            </w:r>
            <w:proofErr w:type="gramStart"/>
            <w:r w:rsidRPr="002C01B5">
              <w:rPr>
                <w:rFonts w:ascii="Times New Roman" w:eastAsiaTheme="minorEastAsia" w:hAnsi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24032F" w:rsidRPr="00EC634D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2C01B5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C01B5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2C01B5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C01B5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Pr="002C01B5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24032F" w:rsidRPr="004E670C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4E670C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E670C">
              <w:rPr>
                <w:rFonts w:ascii="Times New Roman" w:hAnsi="Times New Roman" w:hint="eastAsia"/>
                <w:sz w:val="24"/>
                <w:szCs w:val="24"/>
              </w:rPr>
              <w:lastRenderedPageBreak/>
              <w:t>临床</w:t>
            </w:r>
            <w:r w:rsidRPr="004E670C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4E670C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4E670C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4E670C" w:rsidRDefault="0024032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4E670C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4E670C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4E670C">
        <w:rPr>
          <w:rFonts w:ascii="Times New Roman" w:hAnsi="Times New Roman" w:hint="eastAsia"/>
          <w:b/>
          <w:sz w:val="24"/>
          <w:szCs w:val="24"/>
        </w:rPr>
        <w:t>2.</w:t>
      </w:r>
      <w:r w:rsidRPr="004E670C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4E670C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4E670C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4E670C">
        <w:rPr>
          <w:rFonts w:ascii="Times New Roman" w:hAnsi="Times New Roman" w:hint="eastAsia"/>
          <w:sz w:val="24"/>
          <w:szCs w:val="24"/>
        </w:rPr>
        <w:t>（</w:t>
      </w:r>
      <w:r w:rsidR="00DE2F8D" w:rsidRPr="004E670C">
        <w:rPr>
          <w:rFonts w:ascii="Times New Roman" w:hAnsi="Times New Roman"/>
          <w:sz w:val="24"/>
          <w:szCs w:val="24"/>
        </w:rPr>
        <w:t>0.</w:t>
      </w:r>
      <w:r w:rsidR="008F7ECA" w:rsidRPr="004E670C">
        <w:rPr>
          <w:rFonts w:ascii="Times New Roman" w:hAnsi="Times New Roman"/>
          <w:sz w:val="24"/>
          <w:szCs w:val="24"/>
        </w:rPr>
        <w:t>2</w:t>
      </w:r>
      <w:r w:rsidR="00DE2F8D" w:rsidRPr="004E670C">
        <w:rPr>
          <w:rFonts w:ascii="Times New Roman" w:hAnsi="Times New Roman"/>
          <w:sz w:val="24"/>
          <w:szCs w:val="24"/>
        </w:rPr>
        <w:t>5</w:t>
      </w:r>
      <w:r w:rsidR="006E68C9" w:rsidRPr="004E670C">
        <w:rPr>
          <w:rFonts w:ascii="Times New Roman" w:hAnsi="Times New Roman" w:hint="eastAsia"/>
          <w:sz w:val="24"/>
          <w:szCs w:val="24"/>
        </w:rPr>
        <w:t>g</w:t>
      </w:r>
      <w:r w:rsidR="006E68C9" w:rsidRPr="004E670C">
        <w:rPr>
          <w:rFonts w:ascii="Times New Roman" w:hAnsi="Times New Roman" w:hint="eastAsia"/>
          <w:sz w:val="24"/>
          <w:szCs w:val="24"/>
        </w:rPr>
        <w:t>规格</w:t>
      </w:r>
      <w:r w:rsidR="00587924" w:rsidRPr="004E670C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986" w:type="pct"/>
        <w:jc w:val="center"/>
        <w:tblLook w:val="04A0" w:firstRow="1" w:lastRow="0" w:firstColumn="1" w:lastColumn="0" w:noHBand="0" w:noVBand="1"/>
      </w:tblPr>
      <w:tblGrid>
        <w:gridCol w:w="1071"/>
        <w:gridCol w:w="1406"/>
        <w:gridCol w:w="1499"/>
        <w:gridCol w:w="1405"/>
        <w:gridCol w:w="1138"/>
        <w:gridCol w:w="1754"/>
      </w:tblGrid>
      <w:tr w:rsidR="00641826" w:rsidRPr="00EC634D" w:rsidTr="0024032F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641826" w:rsidRPr="00B70B6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B70B6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B70B6C" w:rsidRDefault="00641826" w:rsidP="00CA12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70B6C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24032F" w:rsidRPr="00B70B6C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CA12D4" w:rsidRPr="00B70B6C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B70B6C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43" w:type="pct"/>
            <w:gridSpan w:val="3"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0" w:type="pct"/>
            <w:vMerge w:val="restart"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EC634D" w:rsidTr="0024032F">
        <w:trPr>
          <w:trHeight w:val="426"/>
          <w:jc w:val="center"/>
        </w:trPr>
        <w:tc>
          <w:tcPr>
            <w:tcW w:w="647" w:type="pct"/>
            <w:vMerge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06" w:type="pct"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49" w:type="pct"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0" w:type="pct"/>
            <w:vMerge/>
            <w:vAlign w:val="center"/>
          </w:tcPr>
          <w:p w:rsidR="00641826" w:rsidRPr="00B70B6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70B6C" w:rsidRPr="00EC634D" w:rsidTr="0024032F">
        <w:trPr>
          <w:trHeight w:val="457"/>
          <w:jc w:val="center"/>
        </w:trPr>
        <w:tc>
          <w:tcPr>
            <w:tcW w:w="647" w:type="pct"/>
            <w:vMerge/>
          </w:tcPr>
          <w:p w:rsidR="00B70B6C" w:rsidRPr="00B70B6C" w:rsidRDefault="00B70B6C" w:rsidP="00B70B6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70B6C" w:rsidRPr="00B70B6C" w:rsidRDefault="00B70B6C" w:rsidP="00B70B6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6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764.09</w:t>
            </w:r>
          </w:p>
        </w:tc>
        <w:tc>
          <w:tcPr>
            <w:tcW w:w="849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809.84</w:t>
            </w:r>
          </w:p>
        </w:tc>
        <w:tc>
          <w:tcPr>
            <w:tcW w:w="688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94.35</w:t>
            </w:r>
          </w:p>
        </w:tc>
        <w:tc>
          <w:tcPr>
            <w:tcW w:w="1060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88.90</w:t>
            </w:r>
            <w:r w:rsidRPr="00B70B6C">
              <w:rPr>
                <w:rFonts w:eastAsia="PMingLiU"/>
                <w:szCs w:val="21"/>
                <w:u w:color="000000"/>
                <w:lang w:val="zh-TW" w:eastAsia="zh-TW"/>
              </w:rPr>
              <w:t>%~</w:t>
            </w:r>
            <w:r w:rsidRPr="00B70B6C">
              <w:rPr>
                <w:szCs w:val="21"/>
              </w:rPr>
              <w:t>100.14</w:t>
            </w:r>
            <w:r w:rsidRPr="00B70B6C">
              <w:rPr>
                <w:szCs w:val="21"/>
                <w:u w:color="000000"/>
              </w:rPr>
              <w:t>%</w:t>
            </w:r>
          </w:p>
        </w:tc>
      </w:tr>
      <w:tr w:rsidR="00B70B6C" w:rsidRPr="00EC634D" w:rsidTr="0024032F">
        <w:trPr>
          <w:trHeight w:val="488"/>
          <w:jc w:val="center"/>
        </w:trPr>
        <w:tc>
          <w:tcPr>
            <w:tcW w:w="647" w:type="pct"/>
            <w:vMerge/>
          </w:tcPr>
          <w:p w:rsidR="00B70B6C" w:rsidRPr="00B70B6C" w:rsidRDefault="00B70B6C" w:rsidP="00B70B6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70B6C" w:rsidRPr="00B70B6C" w:rsidRDefault="00B70B6C" w:rsidP="00B70B6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6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4653.84</w:t>
            </w:r>
          </w:p>
        </w:tc>
        <w:tc>
          <w:tcPr>
            <w:tcW w:w="849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4754.96</w:t>
            </w:r>
          </w:p>
        </w:tc>
        <w:tc>
          <w:tcPr>
            <w:tcW w:w="688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97.87</w:t>
            </w:r>
          </w:p>
        </w:tc>
        <w:tc>
          <w:tcPr>
            <w:tcW w:w="1060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93.57</w:t>
            </w:r>
            <w:r w:rsidRPr="00B70B6C">
              <w:rPr>
                <w:rFonts w:eastAsia="PMingLiU"/>
                <w:szCs w:val="21"/>
                <w:u w:color="000000"/>
                <w:lang w:val="zh-TW" w:eastAsia="zh-TW"/>
              </w:rPr>
              <w:t>%~</w:t>
            </w:r>
            <w:r w:rsidRPr="00B70B6C">
              <w:rPr>
                <w:szCs w:val="21"/>
              </w:rPr>
              <w:t>102.37</w:t>
            </w:r>
            <w:r w:rsidRPr="00B70B6C">
              <w:rPr>
                <w:szCs w:val="21"/>
                <w:u w:color="000000"/>
              </w:rPr>
              <w:t>%</w:t>
            </w:r>
          </w:p>
        </w:tc>
      </w:tr>
      <w:tr w:rsidR="00B70B6C" w:rsidRPr="00EC634D" w:rsidTr="0024032F">
        <w:trPr>
          <w:trHeight w:val="519"/>
          <w:jc w:val="center"/>
        </w:trPr>
        <w:tc>
          <w:tcPr>
            <w:tcW w:w="647" w:type="pct"/>
            <w:vMerge/>
          </w:tcPr>
          <w:p w:rsidR="00B70B6C" w:rsidRPr="00B70B6C" w:rsidRDefault="00B70B6C" w:rsidP="00B70B6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70B6C" w:rsidRPr="00B70B6C" w:rsidRDefault="00B70B6C" w:rsidP="00B70B6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6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4729.27</w:t>
            </w:r>
          </w:p>
        </w:tc>
        <w:tc>
          <w:tcPr>
            <w:tcW w:w="849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4813.56</w:t>
            </w:r>
          </w:p>
        </w:tc>
        <w:tc>
          <w:tcPr>
            <w:tcW w:w="688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98.25</w:t>
            </w:r>
          </w:p>
        </w:tc>
        <w:tc>
          <w:tcPr>
            <w:tcW w:w="1060" w:type="pct"/>
            <w:vAlign w:val="center"/>
          </w:tcPr>
          <w:p w:rsidR="00B70B6C" w:rsidRPr="00B70B6C" w:rsidRDefault="00B70B6C" w:rsidP="00B70B6C">
            <w:pPr>
              <w:spacing w:before="20" w:after="20"/>
              <w:jc w:val="center"/>
              <w:rPr>
                <w:b/>
                <w:szCs w:val="21"/>
              </w:rPr>
            </w:pPr>
            <w:r w:rsidRPr="00B70B6C">
              <w:rPr>
                <w:szCs w:val="21"/>
              </w:rPr>
              <w:t>94.14</w:t>
            </w:r>
            <w:r w:rsidRPr="00B70B6C">
              <w:rPr>
                <w:rFonts w:eastAsia="PMingLiU"/>
                <w:szCs w:val="21"/>
                <w:u w:color="000000"/>
                <w:lang w:val="zh-TW" w:eastAsia="zh-TW"/>
              </w:rPr>
              <w:t>%~</w:t>
            </w:r>
            <w:r w:rsidRPr="00B70B6C">
              <w:rPr>
                <w:szCs w:val="21"/>
              </w:rPr>
              <w:t>102.54</w:t>
            </w:r>
            <w:r w:rsidRPr="00B70B6C">
              <w:rPr>
                <w:szCs w:val="21"/>
                <w:u w:color="000000"/>
              </w:rPr>
              <w:t>%</w:t>
            </w:r>
          </w:p>
        </w:tc>
      </w:tr>
      <w:tr w:rsidR="00641826" w:rsidRPr="00EC634D" w:rsidTr="0024032F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641826" w:rsidRPr="006B655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41826" w:rsidRPr="006B655C" w:rsidRDefault="00641826" w:rsidP="007B724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6B655C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6B655C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24032F" w:rsidRPr="006B655C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7B724F" w:rsidRPr="006B655C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6B655C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43" w:type="pct"/>
            <w:gridSpan w:val="3"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0" w:type="pct"/>
            <w:vMerge w:val="restart"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EC634D" w:rsidTr="0024032F">
        <w:trPr>
          <w:trHeight w:val="426"/>
          <w:jc w:val="center"/>
        </w:trPr>
        <w:tc>
          <w:tcPr>
            <w:tcW w:w="647" w:type="pct"/>
            <w:vMerge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06" w:type="pct"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49" w:type="pct"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0" w:type="pct"/>
            <w:vMerge/>
            <w:vAlign w:val="center"/>
          </w:tcPr>
          <w:p w:rsidR="00641826" w:rsidRPr="006B655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B655C" w:rsidRPr="00EC634D" w:rsidTr="0024032F">
        <w:trPr>
          <w:trHeight w:val="457"/>
          <w:jc w:val="center"/>
        </w:trPr>
        <w:tc>
          <w:tcPr>
            <w:tcW w:w="647" w:type="pct"/>
            <w:vMerge/>
          </w:tcPr>
          <w:p w:rsidR="006B655C" w:rsidRPr="006B655C" w:rsidRDefault="006B655C" w:rsidP="006B6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6B655C" w:rsidRPr="006B655C" w:rsidRDefault="006B655C" w:rsidP="006B6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6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499.66</w:t>
            </w:r>
          </w:p>
        </w:tc>
        <w:tc>
          <w:tcPr>
            <w:tcW w:w="849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478.83</w:t>
            </w:r>
          </w:p>
        </w:tc>
        <w:tc>
          <w:tcPr>
            <w:tcW w:w="688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104.35</w:t>
            </w:r>
          </w:p>
        </w:tc>
        <w:tc>
          <w:tcPr>
            <w:tcW w:w="1060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100.3</w:t>
            </w:r>
            <w:r w:rsidRPr="006B655C">
              <w:rPr>
                <w:rFonts w:eastAsia="PMingLiU"/>
                <w:szCs w:val="21"/>
                <w:u w:color="000000"/>
                <w:lang w:val="zh-TW" w:eastAsia="zh-TW"/>
              </w:rPr>
              <w:t>%~</w:t>
            </w:r>
            <w:r w:rsidRPr="006B655C">
              <w:rPr>
                <w:szCs w:val="21"/>
              </w:rPr>
              <w:t>108.54</w:t>
            </w:r>
            <w:r w:rsidRPr="006B655C">
              <w:rPr>
                <w:szCs w:val="21"/>
              </w:rPr>
              <w:t>%</w:t>
            </w:r>
          </w:p>
        </w:tc>
      </w:tr>
      <w:tr w:rsidR="006B655C" w:rsidRPr="00EC634D" w:rsidTr="0024032F">
        <w:trPr>
          <w:trHeight w:val="488"/>
          <w:jc w:val="center"/>
        </w:trPr>
        <w:tc>
          <w:tcPr>
            <w:tcW w:w="647" w:type="pct"/>
            <w:vMerge/>
          </w:tcPr>
          <w:p w:rsidR="006B655C" w:rsidRPr="006B655C" w:rsidRDefault="006B655C" w:rsidP="006B6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6B655C" w:rsidRPr="006B655C" w:rsidRDefault="006B655C" w:rsidP="006B6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B655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6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3591.32</w:t>
            </w:r>
          </w:p>
        </w:tc>
        <w:tc>
          <w:tcPr>
            <w:tcW w:w="849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3564.27</w:t>
            </w:r>
          </w:p>
        </w:tc>
        <w:tc>
          <w:tcPr>
            <w:tcW w:w="688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100.76</w:t>
            </w:r>
          </w:p>
        </w:tc>
        <w:tc>
          <w:tcPr>
            <w:tcW w:w="1060" w:type="pct"/>
            <w:vAlign w:val="center"/>
          </w:tcPr>
          <w:p w:rsidR="006B655C" w:rsidRPr="006B655C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6B655C">
              <w:rPr>
                <w:szCs w:val="21"/>
              </w:rPr>
              <w:t>96.52</w:t>
            </w:r>
            <w:r w:rsidRPr="006B655C">
              <w:rPr>
                <w:rFonts w:eastAsia="PMingLiU"/>
                <w:szCs w:val="21"/>
                <w:u w:color="000000"/>
                <w:lang w:val="zh-TW" w:eastAsia="zh-TW"/>
              </w:rPr>
              <w:t>%~</w:t>
            </w:r>
            <w:r w:rsidRPr="006B655C">
              <w:rPr>
                <w:szCs w:val="21"/>
              </w:rPr>
              <w:t>105.18</w:t>
            </w:r>
            <w:r w:rsidRPr="006B655C">
              <w:rPr>
                <w:szCs w:val="21"/>
              </w:rPr>
              <w:t>%</w:t>
            </w:r>
          </w:p>
        </w:tc>
      </w:tr>
      <w:tr w:rsidR="006B655C" w:rsidRPr="00EC634D" w:rsidTr="0024032F">
        <w:trPr>
          <w:trHeight w:val="519"/>
          <w:jc w:val="center"/>
        </w:trPr>
        <w:tc>
          <w:tcPr>
            <w:tcW w:w="647" w:type="pct"/>
            <w:vMerge/>
          </w:tcPr>
          <w:p w:rsidR="006B655C" w:rsidRPr="00EC634D" w:rsidRDefault="006B655C" w:rsidP="006B6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6B655C" w:rsidRPr="00B70B6C" w:rsidRDefault="006B655C" w:rsidP="006B6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70B6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6" w:type="pct"/>
            <w:vAlign w:val="center"/>
          </w:tcPr>
          <w:p w:rsidR="006B655C" w:rsidRPr="00DD1024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DD1024">
              <w:rPr>
                <w:szCs w:val="21"/>
              </w:rPr>
              <w:t>3654.59</w:t>
            </w:r>
          </w:p>
        </w:tc>
        <w:tc>
          <w:tcPr>
            <w:tcW w:w="849" w:type="pct"/>
            <w:vAlign w:val="center"/>
          </w:tcPr>
          <w:p w:rsidR="006B655C" w:rsidRPr="00DD1024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DD1024">
              <w:rPr>
                <w:szCs w:val="21"/>
              </w:rPr>
              <w:t>3644.49</w:t>
            </w:r>
          </w:p>
        </w:tc>
        <w:tc>
          <w:tcPr>
            <w:tcW w:w="688" w:type="pct"/>
            <w:vAlign w:val="center"/>
          </w:tcPr>
          <w:p w:rsidR="006B655C" w:rsidRPr="00DD1024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DD1024">
              <w:rPr>
                <w:szCs w:val="21"/>
              </w:rPr>
              <w:t>100.28</w:t>
            </w:r>
          </w:p>
        </w:tc>
        <w:tc>
          <w:tcPr>
            <w:tcW w:w="1060" w:type="pct"/>
            <w:vAlign w:val="center"/>
          </w:tcPr>
          <w:p w:rsidR="006B655C" w:rsidRPr="00DD1024" w:rsidRDefault="006B655C" w:rsidP="006B655C">
            <w:pPr>
              <w:spacing w:before="20" w:after="20"/>
              <w:jc w:val="center"/>
              <w:rPr>
                <w:b/>
                <w:szCs w:val="21"/>
              </w:rPr>
            </w:pPr>
            <w:r w:rsidRPr="00DD1024">
              <w:rPr>
                <w:szCs w:val="21"/>
              </w:rPr>
              <w:t>95.99</w:t>
            </w:r>
            <w:r w:rsidRPr="00B70B6C">
              <w:rPr>
                <w:rFonts w:eastAsia="PMingLiU"/>
                <w:szCs w:val="21"/>
                <w:u w:color="000000"/>
                <w:lang w:val="zh-TW" w:eastAsia="zh-TW"/>
              </w:rPr>
              <w:t>%~</w:t>
            </w:r>
            <w:r w:rsidRPr="00DD1024">
              <w:rPr>
                <w:szCs w:val="21"/>
              </w:rPr>
              <w:t>104.76</w:t>
            </w:r>
            <w:r>
              <w:rPr>
                <w:szCs w:val="21"/>
              </w:rPr>
              <w:t>%</w:t>
            </w:r>
          </w:p>
        </w:tc>
      </w:tr>
    </w:tbl>
    <w:p w:rsidR="00B11091" w:rsidRPr="008D724B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D724B">
        <w:rPr>
          <w:rFonts w:ascii="Times New Roman" w:hAnsi="Times New Roman" w:hint="eastAsia"/>
          <w:b/>
          <w:sz w:val="24"/>
          <w:szCs w:val="24"/>
        </w:rPr>
        <w:t>3.</w:t>
      </w:r>
      <w:r w:rsidRPr="008D724B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24032F" w:rsidRDefault="008D724B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8D724B">
        <w:rPr>
          <w:rFonts w:ascii="Times New Roman" w:hAnsi="Times New Roman" w:hint="eastAsia"/>
          <w:sz w:val="24"/>
          <w:szCs w:val="24"/>
        </w:rPr>
        <w:t>北京市永康药业有限公司</w:t>
      </w:r>
      <w:r w:rsidR="007F1374" w:rsidRPr="008D724B">
        <w:rPr>
          <w:rFonts w:ascii="Times New Roman" w:hAnsi="Times New Roman" w:hint="eastAsia"/>
          <w:sz w:val="24"/>
          <w:szCs w:val="24"/>
        </w:rPr>
        <w:t>生产的</w:t>
      </w:r>
      <w:r w:rsidR="00DE2F8D" w:rsidRPr="008D724B">
        <w:rPr>
          <w:rFonts w:ascii="Times New Roman" w:hAnsi="Times New Roman" w:hint="eastAsia"/>
          <w:sz w:val="24"/>
          <w:szCs w:val="24"/>
        </w:rPr>
        <w:t>盐酸二甲双</w:t>
      </w:r>
      <w:proofErr w:type="gramStart"/>
      <w:r w:rsidR="00DE2F8D" w:rsidRPr="008D724B">
        <w:rPr>
          <w:rFonts w:ascii="Times New Roman" w:hAnsi="Times New Roman" w:hint="eastAsia"/>
          <w:sz w:val="24"/>
          <w:szCs w:val="24"/>
        </w:rPr>
        <w:t>胍</w:t>
      </w:r>
      <w:proofErr w:type="gramEnd"/>
      <w:r w:rsidR="00DE2F8D" w:rsidRPr="008D724B">
        <w:rPr>
          <w:rFonts w:ascii="Times New Roman" w:hAnsi="Times New Roman" w:hint="eastAsia"/>
          <w:sz w:val="24"/>
          <w:szCs w:val="24"/>
        </w:rPr>
        <w:t>片</w:t>
      </w:r>
      <w:r w:rsidR="00E02597" w:rsidRPr="008D724B">
        <w:rPr>
          <w:rFonts w:ascii="Times New Roman" w:hAnsi="Times New Roman" w:hint="eastAsia"/>
          <w:sz w:val="24"/>
          <w:szCs w:val="24"/>
        </w:rPr>
        <w:t>通过</w:t>
      </w:r>
      <w:r w:rsidR="00825632" w:rsidRPr="008D724B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2403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A1" w:rsidRDefault="00A17AA1" w:rsidP="00D45C81">
      <w:r>
        <w:separator/>
      </w:r>
    </w:p>
  </w:endnote>
  <w:endnote w:type="continuationSeparator" w:id="0">
    <w:p w:rsidR="00A17AA1" w:rsidRDefault="00A17AA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97303" w:rsidRPr="003973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A1" w:rsidRDefault="00A17AA1" w:rsidP="00D45C81">
      <w:r>
        <w:separator/>
      </w:r>
    </w:p>
  </w:footnote>
  <w:footnote w:type="continuationSeparator" w:id="0">
    <w:p w:rsidR="00A17AA1" w:rsidRDefault="00A17AA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277E"/>
    <w:rsid w:val="001136E7"/>
    <w:rsid w:val="00117F5E"/>
    <w:rsid w:val="00130DB7"/>
    <w:rsid w:val="00142C4E"/>
    <w:rsid w:val="001460F9"/>
    <w:rsid w:val="0015186D"/>
    <w:rsid w:val="00162F3F"/>
    <w:rsid w:val="001634D2"/>
    <w:rsid w:val="00172938"/>
    <w:rsid w:val="00182DC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E799E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32F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01B5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97303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1ED7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4E670C"/>
    <w:rsid w:val="00504C26"/>
    <w:rsid w:val="00505583"/>
    <w:rsid w:val="00511384"/>
    <w:rsid w:val="0051200F"/>
    <w:rsid w:val="0051544E"/>
    <w:rsid w:val="00535775"/>
    <w:rsid w:val="00546E47"/>
    <w:rsid w:val="00550318"/>
    <w:rsid w:val="0055190A"/>
    <w:rsid w:val="005623CE"/>
    <w:rsid w:val="00564F29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48B5"/>
    <w:rsid w:val="005E5A0C"/>
    <w:rsid w:val="005F18F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B655C"/>
    <w:rsid w:val="006C1D14"/>
    <w:rsid w:val="006C24EC"/>
    <w:rsid w:val="006D4791"/>
    <w:rsid w:val="006D7118"/>
    <w:rsid w:val="006E260C"/>
    <w:rsid w:val="006E547E"/>
    <w:rsid w:val="006E68C9"/>
    <w:rsid w:val="006E7106"/>
    <w:rsid w:val="006F6829"/>
    <w:rsid w:val="00706C2F"/>
    <w:rsid w:val="00707F2C"/>
    <w:rsid w:val="00711544"/>
    <w:rsid w:val="007173F6"/>
    <w:rsid w:val="00741412"/>
    <w:rsid w:val="00746218"/>
    <w:rsid w:val="00750142"/>
    <w:rsid w:val="007520E3"/>
    <w:rsid w:val="00755245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B724F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910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D724B"/>
    <w:rsid w:val="008E0280"/>
    <w:rsid w:val="008E7993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17AA1"/>
    <w:rsid w:val="00A22516"/>
    <w:rsid w:val="00A312FE"/>
    <w:rsid w:val="00A31359"/>
    <w:rsid w:val="00A44347"/>
    <w:rsid w:val="00A45585"/>
    <w:rsid w:val="00A47E44"/>
    <w:rsid w:val="00A50194"/>
    <w:rsid w:val="00A574BB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2477F"/>
    <w:rsid w:val="00B32CDA"/>
    <w:rsid w:val="00B368DA"/>
    <w:rsid w:val="00B425B5"/>
    <w:rsid w:val="00B47F92"/>
    <w:rsid w:val="00B50ED6"/>
    <w:rsid w:val="00B51521"/>
    <w:rsid w:val="00B70365"/>
    <w:rsid w:val="00B70B6C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2D4"/>
    <w:rsid w:val="00CA1A0D"/>
    <w:rsid w:val="00CA471F"/>
    <w:rsid w:val="00CB375C"/>
    <w:rsid w:val="00CC0E70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24C7"/>
    <w:rsid w:val="00DA3EBA"/>
    <w:rsid w:val="00DA4F74"/>
    <w:rsid w:val="00DA7E99"/>
    <w:rsid w:val="00DB2DD1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16B0A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634D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1289F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7727E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712D-1395-43F5-A0DC-584A53E1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43</cp:revision>
  <dcterms:created xsi:type="dcterms:W3CDTF">2019-05-28T05:55:00Z</dcterms:created>
  <dcterms:modified xsi:type="dcterms:W3CDTF">2022-09-13T02:08:00Z</dcterms:modified>
</cp:coreProperties>
</file>