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3D7E3C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D7E3C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3D7E3C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D7E3C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3D7E3C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3D7E3C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D7E3C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D7E3C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8A73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头</w:t>
            </w:r>
            <w:proofErr w:type="gramStart"/>
            <w:r w:rsidRPr="003D7E3C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孢</w:t>
            </w:r>
            <w:proofErr w:type="gramEnd"/>
            <w:r w:rsidRPr="003D7E3C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丙烯颗粒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>Cefprozil Granules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A90BF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颗粒</w:t>
            </w:r>
            <w:r w:rsidR="009B7335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B7335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A90BFA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A90BFA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9B7335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广州市白云区同和街云</w:t>
            </w:r>
            <w:proofErr w:type="gramStart"/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祥</w:t>
            </w:r>
            <w:proofErr w:type="gramEnd"/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路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570C38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00790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D00790">
              <w:rPr>
                <w:rFonts w:ascii="Times New Roman" w:eastAsia="宋体" w:hAnsi="Times New Roman" w:cs="Times New Roman"/>
                <w:sz w:val="24"/>
                <w:szCs w:val="24"/>
              </w:rPr>
              <w:t>H20140048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3D7E3C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3D7E3C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3D7E3C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3D7E3C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3D7E3C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3D7E3C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3D7E3C" w:rsidRDefault="00DA101E" w:rsidP="009B7335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3D7E3C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3D7E3C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□P</w:t>
            </w:r>
            <w:r w:rsidR="009B7335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  <w:r w:rsidR="009B7335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3D7E3C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3D7E3C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3D7E3C" w:rsidRDefault="00D00790" w:rsidP="00D0079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9B7335"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不适用</w:t>
            </w:r>
          </w:p>
        </w:tc>
      </w:tr>
      <w:tr w:rsidR="00D00790" w:rsidRPr="003D7E3C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3D7E3C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D00790" w:rsidRPr="003D7E3C" w:rsidRDefault="00D00790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不适用</w:t>
            </w:r>
          </w:p>
        </w:tc>
      </w:tr>
      <w:tr w:rsidR="00D00790" w:rsidRPr="003D7E3C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3D7E3C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D00790" w:rsidRPr="003D7E3C" w:rsidRDefault="00D00790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不适用</w:t>
            </w:r>
          </w:p>
        </w:tc>
      </w:tr>
      <w:tr w:rsidR="00D00790" w:rsidRPr="003D7E3C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3D7E3C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D00790" w:rsidRPr="003D7E3C" w:rsidRDefault="00D00790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不适用</w:t>
            </w:r>
          </w:p>
        </w:tc>
      </w:tr>
      <w:tr w:rsidR="00D00790" w:rsidRPr="003D7E3C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3D7E3C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D00790" w:rsidRPr="003D7E3C" w:rsidRDefault="00D00790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不适用</w:t>
            </w:r>
          </w:p>
        </w:tc>
      </w:tr>
      <w:tr w:rsidR="00D00790" w:rsidRPr="003D7E3C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3D7E3C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D00790" w:rsidRPr="003D7E3C" w:rsidRDefault="00D00790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不适用</w:t>
            </w:r>
          </w:p>
        </w:tc>
      </w:tr>
      <w:tr w:rsidR="00D00790" w:rsidRPr="003D7E3C" w:rsidTr="00BD27A3">
        <w:trPr>
          <w:trHeight w:val="454"/>
          <w:jc w:val="center"/>
        </w:trPr>
        <w:tc>
          <w:tcPr>
            <w:tcW w:w="1870" w:type="pct"/>
            <w:vAlign w:val="center"/>
          </w:tcPr>
          <w:p w:rsidR="00D00790" w:rsidRPr="003D7E3C" w:rsidRDefault="00D00790" w:rsidP="00D0079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D00790" w:rsidRPr="003D7E3C" w:rsidRDefault="00D00790" w:rsidP="00D0079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不适用</w:t>
            </w:r>
          </w:p>
        </w:tc>
      </w:tr>
      <w:tr w:rsidR="009B7335" w:rsidRPr="003D7E3C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3D7E3C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3D7E3C" w:rsidRDefault="00D00790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申请以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BE</w:t>
            </w:r>
            <w:r w:rsidRPr="003D7E3C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9B7335" w:rsidRPr="003D7E3C" w:rsidRDefault="009B7335" w:rsidP="009B7335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D7E3C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D7E3C">
        <w:rPr>
          <w:rFonts w:ascii="Times New Roman" w:eastAsia="宋体" w:hAnsi="Times New Roman" w:cs="Times New Roman"/>
          <w:sz w:val="24"/>
          <w:szCs w:val="24"/>
        </w:rPr>
        <w:t>（</w:t>
      </w:r>
      <w:r w:rsidR="00D00790" w:rsidRPr="003D7E3C">
        <w:rPr>
          <w:rFonts w:ascii="Times New Roman" w:eastAsia="宋体" w:hAnsi="Times New Roman" w:cs="Times New Roman"/>
          <w:sz w:val="24"/>
          <w:szCs w:val="24"/>
        </w:rPr>
        <w:t>0.125g</w:t>
      </w:r>
      <w:r w:rsidRPr="003D7E3C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3D7E3C" w:rsidRPr="003D7E3C" w:rsidRDefault="003D7E3C" w:rsidP="003D7E3C">
      <w:pPr>
        <w:spacing w:before="240"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D7E3C">
        <w:rPr>
          <w:rFonts w:ascii="宋体" w:eastAsia="宋体" w:hAnsi="宋体" w:cs="Times New Roman" w:hint="eastAsia"/>
          <w:sz w:val="24"/>
          <w:szCs w:val="24"/>
        </w:rPr>
        <w:t>不适用</w:t>
      </w:r>
      <w:r w:rsidRPr="003D7E3C">
        <w:rPr>
          <w:rFonts w:ascii="宋体" w:eastAsia="宋体" w:hAnsi="宋体" w:cs="Times New Roman"/>
          <w:sz w:val="24"/>
          <w:szCs w:val="24"/>
        </w:rPr>
        <w:t>。</w:t>
      </w:r>
    </w:p>
    <w:p w:rsidR="009B7335" w:rsidRPr="003D7E3C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D7E3C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3D7E3C" w:rsidRDefault="009B7335" w:rsidP="00BF23E8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D7E3C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3D7E3C" w:rsidRPr="003D7E3C">
        <w:rPr>
          <w:rFonts w:ascii="Times New Roman" w:eastAsia="宋体" w:hAnsi="Times New Roman" w:cs="Times New Roman"/>
          <w:sz w:val="24"/>
          <w:szCs w:val="24"/>
        </w:rPr>
        <w:t>广州白云山医药集团股份有限公司白云山制药总厂</w:t>
      </w:r>
      <w:r w:rsidR="00A90BFA" w:rsidRPr="003D7E3C">
        <w:rPr>
          <w:rFonts w:ascii="Times New Roman" w:eastAsia="宋体" w:hAnsi="Times New Roman" w:cs="Times New Roman"/>
          <w:sz w:val="24"/>
          <w:szCs w:val="24"/>
        </w:rPr>
        <w:t>生产的</w:t>
      </w:r>
      <w:r w:rsidR="003D7E3C" w:rsidRPr="003D7E3C">
        <w:rPr>
          <w:rFonts w:ascii="Times New Roman" w:eastAsia="宋体" w:hAnsi="Times New Roman" w:cs="Times New Roman"/>
          <w:sz w:val="24"/>
          <w:szCs w:val="24"/>
        </w:rPr>
        <w:t>头</w:t>
      </w:r>
      <w:proofErr w:type="gramStart"/>
      <w:r w:rsidR="003D7E3C" w:rsidRPr="003D7E3C">
        <w:rPr>
          <w:rFonts w:ascii="Times New Roman" w:eastAsia="宋体" w:hAnsi="Times New Roman" w:cs="Times New Roman"/>
          <w:sz w:val="24"/>
          <w:szCs w:val="24"/>
        </w:rPr>
        <w:t>孢</w:t>
      </w:r>
      <w:proofErr w:type="gramEnd"/>
      <w:r w:rsidR="003D7E3C" w:rsidRPr="003D7E3C">
        <w:rPr>
          <w:rFonts w:ascii="Times New Roman" w:eastAsia="宋体" w:hAnsi="Times New Roman" w:cs="Times New Roman"/>
          <w:sz w:val="24"/>
          <w:szCs w:val="24"/>
        </w:rPr>
        <w:t>丙烯颗粒</w:t>
      </w:r>
      <w:r w:rsidR="00BF23E8" w:rsidRPr="003D7E3C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BF23E8" w:rsidRPr="003D7E3C">
        <w:rPr>
          <w:rFonts w:ascii="Times New Roman" w:eastAsia="宋体" w:hAnsi="Times New Roman" w:cs="Times New Roman"/>
          <w:kern w:val="0"/>
          <w:sz w:val="24"/>
          <w:szCs w:val="24"/>
        </w:rPr>
        <w:t>0.</w:t>
      </w:r>
      <w:r w:rsidR="00A90BFA" w:rsidRPr="003D7E3C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3D7E3C" w:rsidRPr="003D7E3C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="00A90BFA" w:rsidRPr="003D7E3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BF23E8" w:rsidRPr="003D7E3C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="00BF23E8" w:rsidRPr="003D7E3C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="003D7E3C" w:rsidRPr="003D7E3C">
        <w:rPr>
          <w:rFonts w:ascii="Times New Roman" w:eastAsia="宋体" w:hAnsi="Times New Roman" w:cs="Times New Roman"/>
          <w:kern w:val="0"/>
          <w:sz w:val="24"/>
          <w:szCs w:val="24"/>
        </w:rPr>
        <w:t>视同</w:t>
      </w:r>
      <w:r w:rsidRPr="003D7E3C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AEE" w:rsidRDefault="00176AEE" w:rsidP="009B7335">
      <w:r>
        <w:separator/>
      </w:r>
    </w:p>
  </w:endnote>
  <w:endnote w:type="continuationSeparator" w:id="0">
    <w:p w:rsidR="00176AEE" w:rsidRDefault="00176AEE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A101E" w:rsidRPr="00DA101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AEE" w:rsidRDefault="00176AEE" w:rsidP="009B7335">
      <w:r>
        <w:separator/>
      </w:r>
    </w:p>
  </w:footnote>
  <w:footnote w:type="continuationSeparator" w:id="0">
    <w:p w:rsidR="00176AEE" w:rsidRDefault="00176AEE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D0FAB"/>
    <w:rsid w:val="000D4347"/>
    <w:rsid w:val="000D6995"/>
    <w:rsid w:val="000E7D5C"/>
    <w:rsid w:val="001170DE"/>
    <w:rsid w:val="00117AC6"/>
    <w:rsid w:val="00135948"/>
    <w:rsid w:val="00176AEE"/>
    <w:rsid w:val="001774B6"/>
    <w:rsid w:val="00215862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3D7E3C"/>
    <w:rsid w:val="00400A87"/>
    <w:rsid w:val="00405771"/>
    <w:rsid w:val="00440FF2"/>
    <w:rsid w:val="0044669A"/>
    <w:rsid w:val="004622E0"/>
    <w:rsid w:val="0047794B"/>
    <w:rsid w:val="004903EB"/>
    <w:rsid w:val="00490FCA"/>
    <w:rsid w:val="004C006B"/>
    <w:rsid w:val="00511E93"/>
    <w:rsid w:val="00537BA2"/>
    <w:rsid w:val="00556F49"/>
    <w:rsid w:val="00570C38"/>
    <w:rsid w:val="005878C8"/>
    <w:rsid w:val="005A525B"/>
    <w:rsid w:val="005B0101"/>
    <w:rsid w:val="005B2E9D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A3221"/>
    <w:rsid w:val="008A73F7"/>
    <w:rsid w:val="008B4B18"/>
    <w:rsid w:val="008C6181"/>
    <w:rsid w:val="008D2791"/>
    <w:rsid w:val="008D71F2"/>
    <w:rsid w:val="00902292"/>
    <w:rsid w:val="00952676"/>
    <w:rsid w:val="00972E2E"/>
    <w:rsid w:val="00991834"/>
    <w:rsid w:val="009B7335"/>
    <w:rsid w:val="009E7106"/>
    <w:rsid w:val="00A1212B"/>
    <w:rsid w:val="00A16CE4"/>
    <w:rsid w:val="00A352DC"/>
    <w:rsid w:val="00A35D28"/>
    <w:rsid w:val="00A74D52"/>
    <w:rsid w:val="00A90BFA"/>
    <w:rsid w:val="00AA249A"/>
    <w:rsid w:val="00AB4F7C"/>
    <w:rsid w:val="00AC6C58"/>
    <w:rsid w:val="00AE0CD4"/>
    <w:rsid w:val="00B356D5"/>
    <w:rsid w:val="00B46863"/>
    <w:rsid w:val="00B566C5"/>
    <w:rsid w:val="00B6092D"/>
    <w:rsid w:val="00B64CAC"/>
    <w:rsid w:val="00BB11DD"/>
    <w:rsid w:val="00BB4039"/>
    <w:rsid w:val="00BB5F03"/>
    <w:rsid w:val="00BF23E8"/>
    <w:rsid w:val="00BF595C"/>
    <w:rsid w:val="00C009FD"/>
    <w:rsid w:val="00C048A3"/>
    <w:rsid w:val="00C75284"/>
    <w:rsid w:val="00CA0E1F"/>
    <w:rsid w:val="00CA70DD"/>
    <w:rsid w:val="00CC7B74"/>
    <w:rsid w:val="00CE49E6"/>
    <w:rsid w:val="00D00790"/>
    <w:rsid w:val="00D04755"/>
    <w:rsid w:val="00D2595B"/>
    <w:rsid w:val="00D6192F"/>
    <w:rsid w:val="00D66AF6"/>
    <w:rsid w:val="00D66E35"/>
    <w:rsid w:val="00D732F1"/>
    <w:rsid w:val="00DA101E"/>
    <w:rsid w:val="00DA4C2A"/>
    <w:rsid w:val="00DA4C92"/>
    <w:rsid w:val="00DA5247"/>
    <w:rsid w:val="00DD7F6E"/>
    <w:rsid w:val="00E5727D"/>
    <w:rsid w:val="00EB4602"/>
    <w:rsid w:val="00EB7945"/>
    <w:rsid w:val="00EF348E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81F4F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D7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26</cp:revision>
  <dcterms:created xsi:type="dcterms:W3CDTF">2022-10-20T03:03:00Z</dcterms:created>
  <dcterms:modified xsi:type="dcterms:W3CDTF">2022-10-20T07:40:00Z</dcterms:modified>
</cp:coreProperties>
</file>