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Pr="00234A8F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234A8F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234A8F" w:rsidRDefault="006B4E40" w:rsidP="006B4E40">
      <w:pPr>
        <w:widowControl/>
        <w:jc w:val="center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:rsidR="001D2DC5" w:rsidRPr="00234A8F" w:rsidRDefault="001D2DC5" w:rsidP="00E6792F">
      <w:pPr>
        <w:spacing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234A8F">
        <w:rPr>
          <w:rFonts w:ascii="Times New Roman" w:eastAsia="黑体" w:hAnsi="Times New Roman" w:cs="Times New Roman"/>
          <w:sz w:val="24"/>
          <w:szCs w:val="24"/>
        </w:rPr>
        <w:t>1.</w:t>
      </w:r>
      <w:r w:rsidRPr="00234A8F">
        <w:rPr>
          <w:rFonts w:ascii="Times New Roman" w:eastAsia="黑体" w:hAnsi="Times New Roman" w:cs="Times New Roman" w:hint="eastAsia"/>
          <w:sz w:val="24"/>
          <w:szCs w:val="24"/>
        </w:rPr>
        <w:t>基本情况汇总</w:t>
      </w:r>
      <w:r w:rsidRPr="00234A8F">
        <w:rPr>
          <w:rFonts w:ascii="Times New Roman" w:eastAsia="黑体" w:hAnsi="Times New Roman" w:cs="Times New Roman"/>
          <w:sz w:val="24"/>
          <w:szCs w:val="24"/>
        </w:rPr>
        <w:t>表</w:t>
      </w:r>
    </w:p>
    <w:tbl>
      <w:tblPr>
        <w:tblW w:w="818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34"/>
        <w:gridCol w:w="5051"/>
      </w:tblGrid>
      <w:tr w:rsidR="00234A8F" w:rsidRPr="00234A8F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234A8F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051" w:type="dxa"/>
            <w:vAlign w:val="center"/>
          </w:tcPr>
          <w:p w:rsidR="001D2DC5" w:rsidRPr="00234A8F" w:rsidRDefault="00234A8F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ED7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缬沙坦</w:t>
            </w:r>
            <w:proofErr w:type="gramEnd"/>
            <w:r w:rsidRPr="00ED7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</w:p>
        </w:tc>
      </w:tr>
      <w:tr w:rsidR="00234A8F" w:rsidRPr="00234A8F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234A8F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051" w:type="dxa"/>
            <w:vAlign w:val="center"/>
          </w:tcPr>
          <w:p w:rsidR="001D2DC5" w:rsidRPr="00234A8F" w:rsidRDefault="00234A8F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Valsartan Capsules</w:t>
            </w:r>
          </w:p>
        </w:tc>
      </w:tr>
      <w:tr w:rsidR="00234A8F" w:rsidRPr="00234A8F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234A8F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051" w:type="dxa"/>
            <w:vAlign w:val="center"/>
          </w:tcPr>
          <w:p w:rsidR="001D2DC5" w:rsidRPr="00234A8F" w:rsidRDefault="00234A8F" w:rsidP="004E7A8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655744"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剂：</w:t>
            </w: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="004E7A8C"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234A8F" w:rsidRPr="00234A8F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234A8F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051" w:type="dxa"/>
            <w:vAlign w:val="center"/>
          </w:tcPr>
          <w:p w:rsidR="001D2DC5" w:rsidRPr="00234A8F" w:rsidRDefault="00234A8F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D7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234A8F" w:rsidRPr="00234A8F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234A8F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051" w:type="dxa"/>
            <w:vAlign w:val="center"/>
          </w:tcPr>
          <w:p w:rsidR="001D2DC5" w:rsidRPr="00234A8F" w:rsidRDefault="00234A8F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D7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珠海市金湾区创业北路</w:t>
            </w:r>
            <w:r w:rsidRPr="00ED7FFD">
              <w:rPr>
                <w:rFonts w:ascii="Times New Roman" w:eastAsia="宋体" w:hAnsi="Times New Roman" w:cs="Times New Roman"/>
                <w:sz w:val="24"/>
                <w:szCs w:val="24"/>
              </w:rPr>
              <w:t>38</w:t>
            </w:r>
            <w:r w:rsidRPr="00ED7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234A8F" w:rsidRPr="00234A8F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234A8F" w:rsidRDefault="001D2DC5" w:rsidP="0073514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051" w:type="dxa"/>
            <w:vAlign w:val="center"/>
          </w:tcPr>
          <w:p w:rsidR="001D2DC5" w:rsidRPr="00234A8F" w:rsidRDefault="00234A8F" w:rsidP="00735146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234A8F" w:rsidRPr="00234A8F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234A8F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最新批准文号</w:t>
            </w:r>
          </w:p>
        </w:tc>
        <w:tc>
          <w:tcPr>
            <w:tcW w:w="5051" w:type="dxa"/>
            <w:vAlign w:val="center"/>
          </w:tcPr>
          <w:p w:rsidR="001D2DC5" w:rsidRPr="00234A8F" w:rsidRDefault="00234A8F" w:rsidP="004E7A8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="004E7A8C"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="00655744"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 w:rsidR="00655744"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：国药准字</w:t>
            </w:r>
            <w:r w:rsidRPr="00ED7FFD">
              <w:rPr>
                <w:rFonts w:ascii="Times New Roman" w:eastAsia="宋体" w:hAnsi="Times New Roman" w:cs="Times New Roman"/>
                <w:sz w:val="24"/>
                <w:szCs w:val="24"/>
              </w:rPr>
              <w:t>H20000622</w:t>
            </w:r>
          </w:p>
        </w:tc>
      </w:tr>
      <w:tr w:rsidR="00234A8F" w:rsidRPr="00234A8F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234A8F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5051" w:type="dxa"/>
            <w:vAlign w:val="center"/>
          </w:tcPr>
          <w:p w:rsidR="001D2DC5" w:rsidRPr="00234A8F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234A8F" w:rsidRPr="00234A8F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234A8F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051" w:type="dxa"/>
            <w:vAlign w:val="center"/>
          </w:tcPr>
          <w:p w:rsidR="001D2DC5" w:rsidRPr="00234A8F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1D2DC5"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1D2DC5" w:rsidRPr="00234A8F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1D2DC5"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1D2DC5" w:rsidRPr="00234A8F" w:rsidRDefault="001D2DC5" w:rsidP="006B4E4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234A8F" w:rsidRPr="00234A8F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234A8F" w:rsidRDefault="001D2DC5" w:rsidP="00234A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051" w:type="dxa"/>
            <w:vAlign w:val="center"/>
          </w:tcPr>
          <w:p w:rsidR="001D2DC5" w:rsidRPr="00234A8F" w:rsidRDefault="00234A8F" w:rsidP="00234A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V190602</w:t>
            </w:r>
          </w:p>
        </w:tc>
      </w:tr>
      <w:tr w:rsidR="00234A8F" w:rsidRPr="00234A8F" w:rsidTr="004E7A8C">
        <w:trPr>
          <w:trHeight w:val="318"/>
          <w:jc w:val="center"/>
        </w:trPr>
        <w:tc>
          <w:tcPr>
            <w:tcW w:w="3134" w:type="dxa"/>
            <w:vAlign w:val="center"/>
          </w:tcPr>
          <w:p w:rsidR="001D2DC5" w:rsidRPr="00234A8F" w:rsidRDefault="001D2DC5" w:rsidP="00234A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051" w:type="dxa"/>
            <w:vAlign w:val="center"/>
          </w:tcPr>
          <w:p w:rsidR="001D2DC5" w:rsidRPr="00234A8F" w:rsidRDefault="00234A8F" w:rsidP="00234A8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丽珠集团丽珠制药厂</w:t>
            </w:r>
          </w:p>
        </w:tc>
      </w:tr>
      <w:tr w:rsidR="00234A8F" w:rsidRPr="00234A8F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234A8F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051" w:type="dxa"/>
            <w:vAlign w:val="center"/>
          </w:tcPr>
          <w:p w:rsidR="001D2DC5" w:rsidRPr="00234A8F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符合要求</w:t>
            </w:r>
          </w:p>
        </w:tc>
      </w:tr>
      <w:tr w:rsidR="00234A8F" w:rsidRPr="00234A8F" w:rsidTr="00E6792F">
        <w:trPr>
          <w:trHeight w:val="782"/>
          <w:jc w:val="center"/>
        </w:trPr>
        <w:tc>
          <w:tcPr>
            <w:tcW w:w="3134" w:type="dxa"/>
            <w:vAlign w:val="center"/>
          </w:tcPr>
          <w:p w:rsidR="001D2DC5" w:rsidRPr="00234A8F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051" w:type="dxa"/>
            <w:vAlign w:val="center"/>
          </w:tcPr>
          <w:p w:rsidR="001D2DC5" w:rsidRPr="00234A8F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D2DC5" w:rsidRPr="00234A8F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D2DC5" w:rsidRPr="00234A8F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1D2DC5" w:rsidRPr="00234A8F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234A8F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234A8F" w:rsidRPr="00234A8F" w:rsidTr="00E6792F">
        <w:trPr>
          <w:trHeight w:val="506"/>
          <w:jc w:val="center"/>
        </w:trPr>
        <w:tc>
          <w:tcPr>
            <w:tcW w:w="3134" w:type="dxa"/>
            <w:vAlign w:val="center"/>
          </w:tcPr>
          <w:p w:rsidR="001D2DC5" w:rsidRPr="00FD740D" w:rsidRDefault="001D2DC5" w:rsidP="00FD740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FD740D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FD740D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FD740D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051" w:type="dxa"/>
            <w:vAlign w:val="center"/>
          </w:tcPr>
          <w:p w:rsidR="001D2DC5" w:rsidRPr="00FD740D" w:rsidRDefault="00234A8F" w:rsidP="00FD740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/>
                <w:sz w:val="24"/>
                <w:szCs w:val="24"/>
              </w:rPr>
              <w:t>B202000156-02</w:t>
            </w:r>
          </w:p>
        </w:tc>
      </w:tr>
      <w:tr w:rsidR="00234A8F" w:rsidRPr="00234A8F" w:rsidTr="00E6792F">
        <w:trPr>
          <w:trHeight w:val="477"/>
          <w:jc w:val="center"/>
        </w:trPr>
        <w:tc>
          <w:tcPr>
            <w:tcW w:w="3134" w:type="dxa"/>
            <w:vAlign w:val="center"/>
          </w:tcPr>
          <w:p w:rsidR="001D2DC5" w:rsidRPr="00FD740D" w:rsidRDefault="001D2DC5" w:rsidP="00FD740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051" w:type="dxa"/>
            <w:vAlign w:val="center"/>
          </w:tcPr>
          <w:p w:rsidR="001D2DC5" w:rsidRPr="00FD740D" w:rsidRDefault="00234A8F" w:rsidP="00FD740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上海市公共卫生临床中心</w:t>
            </w:r>
          </w:p>
        </w:tc>
      </w:tr>
      <w:tr w:rsidR="00234A8F" w:rsidRPr="00234A8F" w:rsidTr="00E6792F">
        <w:trPr>
          <w:trHeight w:val="422"/>
          <w:jc w:val="center"/>
        </w:trPr>
        <w:tc>
          <w:tcPr>
            <w:tcW w:w="3134" w:type="dxa"/>
            <w:vAlign w:val="center"/>
          </w:tcPr>
          <w:p w:rsidR="001D2DC5" w:rsidRPr="00FD740D" w:rsidRDefault="001D2DC5" w:rsidP="00FD740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051" w:type="dxa"/>
            <w:vAlign w:val="center"/>
          </w:tcPr>
          <w:p w:rsidR="001D2DC5" w:rsidRPr="00FD740D" w:rsidRDefault="00234A8F" w:rsidP="00FD740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234A8F" w:rsidRPr="00234A8F" w:rsidTr="00E6792F">
        <w:trPr>
          <w:trHeight w:val="497"/>
          <w:jc w:val="center"/>
        </w:trPr>
        <w:tc>
          <w:tcPr>
            <w:tcW w:w="3134" w:type="dxa"/>
            <w:vAlign w:val="center"/>
          </w:tcPr>
          <w:p w:rsidR="001D2DC5" w:rsidRPr="00FD740D" w:rsidRDefault="001D2DC5" w:rsidP="00FD740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051" w:type="dxa"/>
            <w:vAlign w:val="center"/>
          </w:tcPr>
          <w:p w:rsidR="001D2DC5" w:rsidRPr="00FD740D" w:rsidRDefault="00234A8F" w:rsidP="00FD740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234A8F" w:rsidRPr="00234A8F" w:rsidTr="00E6792F">
        <w:trPr>
          <w:trHeight w:val="470"/>
          <w:jc w:val="center"/>
        </w:trPr>
        <w:tc>
          <w:tcPr>
            <w:tcW w:w="3134" w:type="dxa"/>
            <w:vAlign w:val="center"/>
          </w:tcPr>
          <w:p w:rsidR="001D2DC5" w:rsidRPr="00FD740D" w:rsidRDefault="001D2DC5" w:rsidP="00FD740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051" w:type="dxa"/>
            <w:vAlign w:val="center"/>
          </w:tcPr>
          <w:p w:rsidR="001D2DC5" w:rsidRPr="00FD740D" w:rsidRDefault="00FD740D" w:rsidP="00FD740D">
            <w:pPr>
              <w:spacing w:beforeLines="50" w:before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空腹试验</w:t>
            </w: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采用单中心、随机、开放、单次给药、三周期、部分重复交叉试验设计方法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餐后试验</w:t>
            </w: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采用单中心、随机、开放、单次给药、四周期、完全重复交叉试验设计方法。</w:t>
            </w:r>
          </w:p>
        </w:tc>
      </w:tr>
      <w:tr w:rsidR="00234A8F" w:rsidRPr="00234A8F" w:rsidTr="00E6792F">
        <w:trPr>
          <w:trHeight w:val="475"/>
          <w:jc w:val="center"/>
        </w:trPr>
        <w:tc>
          <w:tcPr>
            <w:tcW w:w="3134" w:type="dxa"/>
            <w:vAlign w:val="center"/>
          </w:tcPr>
          <w:p w:rsidR="001D2DC5" w:rsidRPr="00FD740D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检测物质</w:t>
            </w:r>
          </w:p>
        </w:tc>
        <w:tc>
          <w:tcPr>
            <w:tcW w:w="5051" w:type="dxa"/>
            <w:vAlign w:val="center"/>
          </w:tcPr>
          <w:p w:rsidR="001D2DC5" w:rsidRPr="00FD740D" w:rsidRDefault="00655744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血浆中</w:t>
            </w:r>
            <w:proofErr w:type="gramStart"/>
            <w:r w:rsidR="00FD740D"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缬沙坦</w:t>
            </w:r>
            <w:proofErr w:type="gramEnd"/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浓度</w:t>
            </w:r>
          </w:p>
        </w:tc>
      </w:tr>
      <w:tr w:rsidR="00234A8F" w:rsidRPr="00234A8F" w:rsidTr="00E6792F">
        <w:trPr>
          <w:trHeight w:val="466"/>
          <w:jc w:val="center"/>
        </w:trPr>
        <w:tc>
          <w:tcPr>
            <w:tcW w:w="3134" w:type="dxa"/>
            <w:vAlign w:val="center"/>
          </w:tcPr>
          <w:p w:rsidR="001D2DC5" w:rsidRPr="00FD740D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051" w:type="dxa"/>
            <w:vAlign w:val="center"/>
          </w:tcPr>
          <w:p w:rsidR="001D2DC5" w:rsidRPr="00FD740D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UP</w:t>
            </w:r>
            <w:r w:rsidRPr="00FD740D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234A8F" w:rsidRPr="00234A8F" w:rsidTr="00E6792F">
        <w:trPr>
          <w:trHeight w:val="486"/>
          <w:jc w:val="center"/>
        </w:trPr>
        <w:tc>
          <w:tcPr>
            <w:tcW w:w="3134" w:type="dxa"/>
            <w:vAlign w:val="center"/>
          </w:tcPr>
          <w:p w:rsidR="001D2DC5" w:rsidRPr="00FD740D" w:rsidRDefault="001D2DC5" w:rsidP="004E7A8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FD740D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FD740D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5051" w:type="dxa"/>
            <w:vAlign w:val="center"/>
          </w:tcPr>
          <w:p w:rsidR="001D2DC5" w:rsidRPr="00FD740D" w:rsidRDefault="00FD740D" w:rsidP="004E7A8C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D740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1D2DC5" w:rsidRPr="00FD740D" w:rsidRDefault="001D2DC5" w:rsidP="001669A3">
      <w:pPr>
        <w:spacing w:beforeLines="100" w:before="312"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FD740D">
        <w:rPr>
          <w:rFonts w:ascii="Times New Roman" w:eastAsia="黑体" w:hAnsi="Times New Roman" w:cs="Times New Roman"/>
          <w:sz w:val="24"/>
          <w:szCs w:val="24"/>
        </w:rPr>
        <w:t>2.</w:t>
      </w:r>
      <w:r w:rsidRPr="00FD740D">
        <w:rPr>
          <w:rFonts w:ascii="Times New Roman" w:eastAsia="黑体" w:hAnsi="Times New Roman" w:cs="Times New Roman" w:hint="eastAsia"/>
          <w:sz w:val="24"/>
          <w:szCs w:val="24"/>
        </w:rPr>
        <w:t>生物等效性研究结果</w:t>
      </w:r>
    </w:p>
    <w:p w:rsidR="001D2DC5" w:rsidRPr="005D51B7" w:rsidRDefault="001D2DC5" w:rsidP="00694247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kern w:val="0"/>
          <w:sz w:val="24"/>
          <w:szCs w:val="24"/>
          <w:u w:val="single"/>
        </w:rPr>
      </w:pPr>
      <w:r w:rsidRPr="005D51B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5D51B7">
        <w:rPr>
          <w:rFonts w:ascii="Times New Roman" w:eastAsia="宋体" w:hAnsi="Times New Roman" w:cs="Times New Roman"/>
          <w:sz w:val="24"/>
          <w:szCs w:val="24"/>
        </w:rPr>
        <w:t xml:space="preserve">1. </w:t>
      </w:r>
      <w:proofErr w:type="gramStart"/>
      <w:r w:rsidR="00FD740D" w:rsidRPr="005D51B7">
        <w:rPr>
          <w:rFonts w:ascii="Times New Roman" w:eastAsia="宋体" w:hAnsi="Times New Roman" w:cs="Times New Roman" w:hint="eastAsia"/>
          <w:sz w:val="24"/>
          <w:szCs w:val="24"/>
        </w:rPr>
        <w:t>缬沙坦</w:t>
      </w:r>
      <w:proofErr w:type="gramEnd"/>
      <w:r w:rsidR="00FD740D" w:rsidRPr="005D51B7">
        <w:rPr>
          <w:rFonts w:ascii="Times New Roman" w:eastAsia="宋体" w:hAnsi="Times New Roman" w:cs="Times New Roman" w:hint="eastAsia"/>
          <w:sz w:val="24"/>
          <w:szCs w:val="24"/>
        </w:rPr>
        <w:t>胶囊</w:t>
      </w:r>
      <w:r w:rsidRPr="005D51B7">
        <w:rPr>
          <w:rFonts w:ascii="Times New Roman" w:eastAsia="宋体" w:hAnsi="Times New Roman" w:cs="Times New Roman"/>
          <w:sz w:val="24"/>
          <w:szCs w:val="24"/>
        </w:rPr>
        <w:t>（</w:t>
      </w:r>
      <w:r w:rsidR="00FD740D" w:rsidRPr="005D51B7">
        <w:rPr>
          <w:rFonts w:ascii="Times New Roman" w:eastAsia="宋体" w:hAnsi="Times New Roman" w:cs="Times New Roman"/>
          <w:sz w:val="24"/>
          <w:szCs w:val="24"/>
        </w:rPr>
        <w:t>8</w:t>
      </w:r>
      <w:r w:rsidR="004E7A8C" w:rsidRPr="005D51B7">
        <w:rPr>
          <w:rFonts w:ascii="Times New Roman" w:eastAsia="宋体" w:hAnsi="Times New Roman" w:cs="Times New Roman"/>
          <w:sz w:val="24"/>
          <w:szCs w:val="24"/>
        </w:rPr>
        <w:t>0</w:t>
      </w:r>
      <w:r w:rsidR="00655744" w:rsidRPr="005D51B7">
        <w:rPr>
          <w:rFonts w:ascii="Times New Roman" w:eastAsia="宋体" w:hAnsi="Times New Roman" w:cs="Times New Roman"/>
          <w:sz w:val="24"/>
          <w:szCs w:val="24"/>
        </w:rPr>
        <w:t>mg</w:t>
      </w:r>
      <w:r w:rsidRPr="005D51B7">
        <w:rPr>
          <w:rFonts w:ascii="Times New Roman" w:eastAsia="宋体" w:hAnsi="Times New Roman" w:cs="Times New Roman"/>
          <w:sz w:val="24"/>
          <w:szCs w:val="24"/>
        </w:rPr>
        <w:t>）</w:t>
      </w:r>
      <w:r w:rsidRPr="005D51B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proofErr w:type="gramStart"/>
      <w:r w:rsidR="00FD740D" w:rsidRPr="005D51B7">
        <w:rPr>
          <w:rFonts w:ascii="Times New Roman" w:eastAsia="宋体" w:hAnsi="Times New Roman" w:cs="Times New Roman" w:hint="eastAsia"/>
          <w:sz w:val="24"/>
          <w:szCs w:val="24"/>
        </w:rPr>
        <w:t>缬沙坦</w:t>
      </w:r>
      <w:r w:rsidRPr="005D51B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proofErr w:type="gramEnd"/>
      <w:r w:rsidRPr="005D51B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5D51B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5D51B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1192"/>
        <w:gridCol w:w="1968"/>
        <w:gridCol w:w="1117"/>
        <w:gridCol w:w="1117"/>
        <w:gridCol w:w="1270"/>
        <w:gridCol w:w="994"/>
        <w:gridCol w:w="1177"/>
        <w:gridCol w:w="14"/>
        <w:gridCol w:w="1211"/>
      </w:tblGrid>
      <w:tr w:rsidR="005D51B7" w:rsidRPr="005D51B7" w:rsidTr="005D51B7">
        <w:trPr>
          <w:trHeight w:val="405"/>
          <w:jc w:val="center"/>
        </w:trPr>
        <w:tc>
          <w:tcPr>
            <w:tcW w:w="593" w:type="pct"/>
            <w:vMerge w:val="restart"/>
            <w:vAlign w:val="center"/>
          </w:tcPr>
          <w:p w:rsidR="001D2DC5" w:rsidRPr="005D51B7" w:rsidRDefault="001D2DC5" w:rsidP="006B4E40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空腹</w:t>
            </w:r>
            <w:r w:rsidRPr="005D51B7">
              <w:rPr>
                <w:sz w:val="24"/>
                <w:szCs w:val="24"/>
              </w:rPr>
              <w:t>BE</w:t>
            </w:r>
          </w:p>
          <w:p w:rsidR="001D2DC5" w:rsidRPr="005D51B7" w:rsidRDefault="001D2DC5" w:rsidP="00FD740D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（</w:t>
            </w:r>
            <w:r w:rsidRPr="005D51B7">
              <w:rPr>
                <w:sz w:val="24"/>
                <w:szCs w:val="24"/>
              </w:rPr>
              <w:t>n=</w:t>
            </w:r>
            <w:r w:rsidR="00FD740D" w:rsidRPr="005D51B7">
              <w:rPr>
                <w:sz w:val="24"/>
                <w:szCs w:val="24"/>
              </w:rPr>
              <w:t>47</w:t>
            </w:r>
            <w:r w:rsidRPr="005D51B7">
              <w:rPr>
                <w:sz w:val="24"/>
                <w:szCs w:val="24"/>
              </w:rPr>
              <w:t>）</w:t>
            </w:r>
          </w:p>
        </w:tc>
        <w:tc>
          <w:tcPr>
            <w:tcW w:w="978" w:type="pct"/>
            <w:vMerge w:val="restart"/>
            <w:vAlign w:val="center"/>
          </w:tcPr>
          <w:p w:rsidR="001D2DC5" w:rsidRPr="005D51B7" w:rsidRDefault="001D2DC5" w:rsidP="006B4E40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参数</w:t>
            </w:r>
          </w:p>
        </w:tc>
        <w:tc>
          <w:tcPr>
            <w:tcW w:w="1741" w:type="pct"/>
            <w:gridSpan w:val="3"/>
            <w:vAlign w:val="center"/>
          </w:tcPr>
          <w:p w:rsidR="001D2DC5" w:rsidRPr="005D51B7" w:rsidRDefault="001D2DC5" w:rsidP="006B4E40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几何均值及比值</w:t>
            </w:r>
          </w:p>
        </w:tc>
        <w:tc>
          <w:tcPr>
            <w:tcW w:w="1689" w:type="pct"/>
            <w:gridSpan w:val="4"/>
            <w:vMerge w:val="restart"/>
            <w:vAlign w:val="center"/>
          </w:tcPr>
          <w:p w:rsidR="001D2DC5" w:rsidRPr="005D51B7" w:rsidRDefault="001D2DC5" w:rsidP="006B4E40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90%CI</w:t>
            </w:r>
          </w:p>
        </w:tc>
      </w:tr>
      <w:tr w:rsidR="005D51B7" w:rsidRPr="005D51B7" w:rsidTr="005D51B7">
        <w:trPr>
          <w:trHeight w:val="405"/>
          <w:jc w:val="center"/>
        </w:trPr>
        <w:tc>
          <w:tcPr>
            <w:tcW w:w="593" w:type="pct"/>
            <w:vMerge/>
            <w:vAlign w:val="center"/>
          </w:tcPr>
          <w:p w:rsidR="001D2DC5" w:rsidRPr="005D51B7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pct"/>
            <w:vMerge/>
            <w:vAlign w:val="center"/>
          </w:tcPr>
          <w:p w:rsidR="001D2DC5" w:rsidRPr="005D51B7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" w:type="pct"/>
            <w:vAlign w:val="center"/>
          </w:tcPr>
          <w:p w:rsidR="001D2DC5" w:rsidRPr="005D51B7" w:rsidRDefault="001D2DC5" w:rsidP="006B4E40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T</w:t>
            </w:r>
          </w:p>
        </w:tc>
        <w:tc>
          <w:tcPr>
            <w:tcW w:w="555" w:type="pct"/>
            <w:vAlign w:val="center"/>
          </w:tcPr>
          <w:p w:rsidR="001D2DC5" w:rsidRPr="005D51B7" w:rsidRDefault="001D2DC5" w:rsidP="006B4E40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R</w:t>
            </w:r>
          </w:p>
        </w:tc>
        <w:tc>
          <w:tcPr>
            <w:tcW w:w="631" w:type="pct"/>
            <w:vAlign w:val="center"/>
          </w:tcPr>
          <w:p w:rsidR="001D2DC5" w:rsidRPr="005D51B7" w:rsidRDefault="001D2DC5" w:rsidP="006B4E40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（</w:t>
            </w:r>
            <w:r w:rsidRPr="005D51B7">
              <w:rPr>
                <w:sz w:val="24"/>
                <w:szCs w:val="24"/>
              </w:rPr>
              <w:t>T/R</w:t>
            </w:r>
            <w:r w:rsidRPr="005D51B7">
              <w:rPr>
                <w:sz w:val="24"/>
                <w:szCs w:val="24"/>
              </w:rPr>
              <w:t>）</w:t>
            </w:r>
            <w:r w:rsidRPr="005D51B7">
              <w:rPr>
                <w:sz w:val="24"/>
                <w:szCs w:val="24"/>
              </w:rPr>
              <w:t>%</w:t>
            </w:r>
          </w:p>
        </w:tc>
        <w:tc>
          <w:tcPr>
            <w:tcW w:w="1689" w:type="pct"/>
            <w:gridSpan w:val="4"/>
            <w:vMerge/>
            <w:vAlign w:val="center"/>
          </w:tcPr>
          <w:p w:rsidR="001D2DC5" w:rsidRPr="005D51B7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5D51B7" w:rsidRPr="005D51B7" w:rsidTr="005D51B7">
        <w:trPr>
          <w:trHeight w:val="441"/>
          <w:jc w:val="center"/>
        </w:trPr>
        <w:tc>
          <w:tcPr>
            <w:tcW w:w="593" w:type="pct"/>
            <w:vMerge/>
            <w:vAlign w:val="center"/>
          </w:tcPr>
          <w:p w:rsidR="00FD740D" w:rsidRPr="005D51B7" w:rsidRDefault="00FD740D" w:rsidP="00FD74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FD740D" w:rsidRPr="005D51B7" w:rsidRDefault="00FD740D" w:rsidP="00FD740D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AUC</w:t>
            </w:r>
            <w:r w:rsidRPr="005D51B7">
              <w:rPr>
                <w:sz w:val="24"/>
                <w:szCs w:val="24"/>
                <w:vertAlign w:val="subscript"/>
              </w:rPr>
              <w:t>0-t</w:t>
            </w:r>
            <w:r w:rsidRPr="005D51B7">
              <w:rPr>
                <w:sz w:val="24"/>
                <w:szCs w:val="24"/>
              </w:rPr>
              <w:t>（</w:t>
            </w:r>
            <w:proofErr w:type="spellStart"/>
            <w:r w:rsidRPr="005D51B7">
              <w:rPr>
                <w:sz w:val="24"/>
                <w:szCs w:val="24"/>
              </w:rPr>
              <w:t>h·ng</w:t>
            </w:r>
            <w:proofErr w:type="spellEnd"/>
            <w:r w:rsidRPr="005D51B7">
              <w:rPr>
                <w:sz w:val="24"/>
                <w:szCs w:val="24"/>
              </w:rPr>
              <w:t>/mL</w:t>
            </w:r>
            <w:r w:rsidRPr="005D51B7">
              <w:rPr>
                <w:sz w:val="24"/>
                <w:szCs w:val="24"/>
              </w:rPr>
              <w:t>）</w:t>
            </w:r>
          </w:p>
        </w:tc>
        <w:tc>
          <w:tcPr>
            <w:tcW w:w="555" w:type="pct"/>
            <w:vAlign w:val="center"/>
          </w:tcPr>
          <w:p w:rsidR="00FD740D" w:rsidRPr="005D51B7" w:rsidRDefault="00FD740D" w:rsidP="00FD740D">
            <w:pPr>
              <w:keepNext/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14353.54</w:t>
            </w:r>
          </w:p>
        </w:tc>
        <w:tc>
          <w:tcPr>
            <w:tcW w:w="555" w:type="pct"/>
            <w:vAlign w:val="center"/>
          </w:tcPr>
          <w:p w:rsidR="00FD740D" w:rsidRPr="005D51B7" w:rsidRDefault="00FD740D" w:rsidP="00FD740D">
            <w:pPr>
              <w:keepNext/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13380.88</w:t>
            </w:r>
          </w:p>
        </w:tc>
        <w:tc>
          <w:tcPr>
            <w:tcW w:w="631" w:type="pct"/>
            <w:vAlign w:val="center"/>
          </w:tcPr>
          <w:p w:rsidR="00FD740D" w:rsidRPr="005D51B7" w:rsidRDefault="00FD740D" w:rsidP="00FD740D">
            <w:pPr>
              <w:keepNext/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107.27</w:t>
            </w:r>
          </w:p>
        </w:tc>
        <w:tc>
          <w:tcPr>
            <w:tcW w:w="1689" w:type="pct"/>
            <w:gridSpan w:val="4"/>
            <w:vAlign w:val="center"/>
          </w:tcPr>
          <w:p w:rsidR="00FD740D" w:rsidRPr="005D51B7" w:rsidRDefault="005D51B7" w:rsidP="00FD740D">
            <w:pPr>
              <w:keepNext/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100.71,114.26</w:t>
            </w:r>
          </w:p>
        </w:tc>
      </w:tr>
      <w:tr w:rsidR="005D51B7" w:rsidRPr="005D51B7" w:rsidTr="005D51B7">
        <w:trPr>
          <w:trHeight w:val="405"/>
          <w:jc w:val="center"/>
        </w:trPr>
        <w:tc>
          <w:tcPr>
            <w:tcW w:w="593" w:type="pct"/>
            <w:vMerge/>
            <w:vAlign w:val="center"/>
          </w:tcPr>
          <w:p w:rsidR="00FD740D" w:rsidRPr="005D51B7" w:rsidRDefault="00FD740D" w:rsidP="00FD74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FD740D" w:rsidRPr="005D51B7" w:rsidRDefault="00FD740D" w:rsidP="00FD740D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AUC</w:t>
            </w:r>
            <w:r w:rsidRPr="005D51B7">
              <w:rPr>
                <w:sz w:val="24"/>
                <w:szCs w:val="24"/>
                <w:vertAlign w:val="subscript"/>
              </w:rPr>
              <w:t>0-∞</w:t>
            </w:r>
            <w:r w:rsidRPr="005D51B7">
              <w:rPr>
                <w:sz w:val="24"/>
                <w:szCs w:val="24"/>
              </w:rPr>
              <w:t>（</w:t>
            </w:r>
            <w:proofErr w:type="spellStart"/>
            <w:r w:rsidRPr="005D51B7">
              <w:rPr>
                <w:sz w:val="24"/>
                <w:szCs w:val="24"/>
              </w:rPr>
              <w:t>h·ng</w:t>
            </w:r>
            <w:proofErr w:type="spellEnd"/>
            <w:r w:rsidRPr="005D51B7">
              <w:rPr>
                <w:sz w:val="24"/>
                <w:szCs w:val="24"/>
              </w:rPr>
              <w:t>/mL</w:t>
            </w:r>
            <w:r w:rsidRPr="005D51B7">
              <w:rPr>
                <w:sz w:val="24"/>
                <w:szCs w:val="24"/>
              </w:rPr>
              <w:t>）</w:t>
            </w:r>
          </w:p>
        </w:tc>
        <w:tc>
          <w:tcPr>
            <w:tcW w:w="555" w:type="pct"/>
            <w:vAlign w:val="center"/>
          </w:tcPr>
          <w:p w:rsidR="00FD740D" w:rsidRPr="005D51B7" w:rsidRDefault="00FD740D" w:rsidP="00FD740D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14591.72</w:t>
            </w:r>
          </w:p>
        </w:tc>
        <w:tc>
          <w:tcPr>
            <w:tcW w:w="555" w:type="pct"/>
            <w:vAlign w:val="center"/>
          </w:tcPr>
          <w:p w:rsidR="00FD740D" w:rsidRPr="005D51B7" w:rsidRDefault="00FD740D" w:rsidP="00FD740D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13611.10</w:t>
            </w:r>
          </w:p>
        </w:tc>
        <w:tc>
          <w:tcPr>
            <w:tcW w:w="631" w:type="pct"/>
            <w:vAlign w:val="center"/>
          </w:tcPr>
          <w:p w:rsidR="00FD740D" w:rsidRPr="005D51B7" w:rsidRDefault="00FD740D" w:rsidP="00FD740D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107.20</w:t>
            </w:r>
          </w:p>
        </w:tc>
        <w:tc>
          <w:tcPr>
            <w:tcW w:w="1689" w:type="pct"/>
            <w:gridSpan w:val="4"/>
            <w:vAlign w:val="center"/>
          </w:tcPr>
          <w:p w:rsidR="00FD740D" w:rsidRPr="005D51B7" w:rsidRDefault="005D51B7" w:rsidP="00FD740D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100.74,114.09</w:t>
            </w:r>
          </w:p>
        </w:tc>
      </w:tr>
      <w:tr w:rsidR="005D51B7" w:rsidRPr="005D51B7" w:rsidTr="005D51B7">
        <w:trPr>
          <w:trHeight w:val="406"/>
          <w:jc w:val="center"/>
        </w:trPr>
        <w:tc>
          <w:tcPr>
            <w:tcW w:w="593" w:type="pct"/>
            <w:vMerge/>
            <w:vAlign w:val="center"/>
          </w:tcPr>
          <w:p w:rsidR="00FD740D" w:rsidRPr="005D51B7" w:rsidRDefault="00FD740D" w:rsidP="00FD74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FD740D" w:rsidRPr="005D51B7" w:rsidRDefault="00FD740D" w:rsidP="00FD740D">
            <w:pPr>
              <w:jc w:val="center"/>
              <w:rPr>
                <w:sz w:val="24"/>
                <w:szCs w:val="24"/>
              </w:rPr>
            </w:pPr>
            <w:proofErr w:type="spellStart"/>
            <w:r w:rsidRPr="005D51B7">
              <w:rPr>
                <w:sz w:val="24"/>
                <w:szCs w:val="24"/>
              </w:rPr>
              <w:t>C</w:t>
            </w:r>
            <w:r w:rsidRPr="005D51B7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5D51B7">
              <w:rPr>
                <w:sz w:val="24"/>
                <w:szCs w:val="24"/>
              </w:rPr>
              <w:t>（</w:t>
            </w:r>
            <w:r w:rsidRPr="005D51B7">
              <w:rPr>
                <w:sz w:val="24"/>
                <w:szCs w:val="24"/>
              </w:rPr>
              <w:t>ng/mL</w:t>
            </w:r>
            <w:r w:rsidRPr="005D51B7">
              <w:rPr>
                <w:sz w:val="24"/>
                <w:szCs w:val="24"/>
              </w:rPr>
              <w:t>）</w:t>
            </w:r>
          </w:p>
        </w:tc>
        <w:tc>
          <w:tcPr>
            <w:tcW w:w="555" w:type="pct"/>
            <w:vAlign w:val="center"/>
          </w:tcPr>
          <w:p w:rsidR="00FD740D" w:rsidRPr="005D51B7" w:rsidRDefault="00FD740D" w:rsidP="00FD740D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  <w:lang w:eastAsia="en-US"/>
              </w:rPr>
              <w:t>2434.54</w:t>
            </w:r>
          </w:p>
        </w:tc>
        <w:tc>
          <w:tcPr>
            <w:tcW w:w="555" w:type="pct"/>
            <w:vAlign w:val="center"/>
          </w:tcPr>
          <w:p w:rsidR="00FD740D" w:rsidRPr="005D51B7" w:rsidRDefault="00FD740D" w:rsidP="00FD740D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  <w:lang w:eastAsia="en-US"/>
              </w:rPr>
              <w:t>2226.69</w:t>
            </w:r>
          </w:p>
        </w:tc>
        <w:tc>
          <w:tcPr>
            <w:tcW w:w="631" w:type="pct"/>
            <w:vAlign w:val="center"/>
          </w:tcPr>
          <w:p w:rsidR="00FD740D" w:rsidRPr="005D51B7" w:rsidRDefault="00FD740D" w:rsidP="00FD740D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109.33</w:t>
            </w:r>
          </w:p>
        </w:tc>
        <w:tc>
          <w:tcPr>
            <w:tcW w:w="1689" w:type="pct"/>
            <w:gridSpan w:val="4"/>
            <w:vAlign w:val="center"/>
          </w:tcPr>
          <w:p w:rsidR="00FD740D" w:rsidRPr="005D51B7" w:rsidRDefault="005D51B7" w:rsidP="00FD740D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99.96,119.59</w:t>
            </w:r>
          </w:p>
        </w:tc>
      </w:tr>
      <w:tr w:rsidR="005D51B7" w:rsidRPr="005D51B7" w:rsidTr="005D51B7">
        <w:trPr>
          <w:trHeight w:val="405"/>
          <w:jc w:val="center"/>
        </w:trPr>
        <w:tc>
          <w:tcPr>
            <w:tcW w:w="593" w:type="pct"/>
            <w:vMerge w:val="restart"/>
            <w:vAlign w:val="center"/>
          </w:tcPr>
          <w:p w:rsidR="00FD740D" w:rsidRPr="005D51B7" w:rsidRDefault="00FD740D" w:rsidP="00FD740D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餐后</w:t>
            </w:r>
            <w:r w:rsidRPr="005D51B7">
              <w:rPr>
                <w:sz w:val="24"/>
                <w:szCs w:val="24"/>
              </w:rPr>
              <w:t>BE</w:t>
            </w:r>
            <w:r w:rsidRPr="005D51B7">
              <w:rPr>
                <w:sz w:val="24"/>
                <w:szCs w:val="24"/>
              </w:rPr>
              <w:t>（</w:t>
            </w:r>
            <w:r w:rsidRPr="005D51B7">
              <w:rPr>
                <w:sz w:val="24"/>
                <w:szCs w:val="24"/>
              </w:rPr>
              <w:t>n=36</w:t>
            </w:r>
            <w:r w:rsidRPr="005D51B7">
              <w:rPr>
                <w:sz w:val="24"/>
                <w:szCs w:val="24"/>
              </w:rPr>
              <w:t>）</w:t>
            </w:r>
          </w:p>
        </w:tc>
        <w:tc>
          <w:tcPr>
            <w:tcW w:w="978" w:type="pct"/>
            <w:vMerge w:val="restart"/>
            <w:vAlign w:val="center"/>
          </w:tcPr>
          <w:p w:rsidR="00FD740D" w:rsidRPr="005D51B7" w:rsidRDefault="00FD740D" w:rsidP="00655744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参数</w:t>
            </w:r>
          </w:p>
        </w:tc>
        <w:tc>
          <w:tcPr>
            <w:tcW w:w="1741" w:type="pct"/>
            <w:gridSpan w:val="3"/>
            <w:vAlign w:val="center"/>
          </w:tcPr>
          <w:p w:rsidR="00FD740D" w:rsidRPr="005D51B7" w:rsidRDefault="00FD740D" w:rsidP="00655744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几何均值及比值</w:t>
            </w:r>
          </w:p>
        </w:tc>
        <w:tc>
          <w:tcPr>
            <w:tcW w:w="1689" w:type="pct"/>
            <w:gridSpan w:val="4"/>
            <w:vMerge w:val="restart"/>
            <w:vAlign w:val="center"/>
          </w:tcPr>
          <w:p w:rsidR="00FD740D" w:rsidRPr="005D51B7" w:rsidRDefault="00FD740D" w:rsidP="00655744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90%CI</w:t>
            </w:r>
          </w:p>
        </w:tc>
      </w:tr>
      <w:tr w:rsidR="005D51B7" w:rsidRPr="005D51B7" w:rsidTr="005D51B7">
        <w:trPr>
          <w:trHeight w:val="405"/>
          <w:jc w:val="center"/>
        </w:trPr>
        <w:tc>
          <w:tcPr>
            <w:tcW w:w="593" w:type="pct"/>
            <w:vMerge/>
            <w:vAlign w:val="center"/>
          </w:tcPr>
          <w:p w:rsidR="00FD740D" w:rsidRPr="005D51B7" w:rsidRDefault="00FD740D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pct"/>
            <w:vMerge/>
            <w:vAlign w:val="center"/>
          </w:tcPr>
          <w:p w:rsidR="00FD740D" w:rsidRPr="005D51B7" w:rsidRDefault="00FD740D" w:rsidP="006557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" w:type="pct"/>
            <w:vAlign w:val="center"/>
          </w:tcPr>
          <w:p w:rsidR="00FD740D" w:rsidRPr="005D51B7" w:rsidRDefault="00FD740D" w:rsidP="00655744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T</w:t>
            </w:r>
          </w:p>
        </w:tc>
        <w:tc>
          <w:tcPr>
            <w:tcW w:w="555" w:type="pct"/>
            <w:vAlign w:val="center"/>
          </w:tcPr>
          <w:p w:rsidR="00FD740D" w:rsidRPr="005D51B7" w:rsidRDefault="00FD740D" w:rsidP="00655744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R</w:t>
            </w:r>
          </w:p>
        </w:tc>
        <w:tc>
          <w:tcPr>
            <w:tcW w:w="631" w:type="pct"/>
            <w:vAlign w:val="center"/>
          </w:tcPr>
          <w:p w:rsidR="00FD740D" w:rsidRPr="005D51B7" w:rsidRDefault="00FD740D" w:rsidP="00655744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（</w:t>
            </w:r>
            <w:r w:rsidRPr="005D51B7">
              <w:rPr>
                <w:sz w:val="24"/>
                <w:szCs w:val="24"/>
              </w:rPr>
              <w:t>T/R</w:t>
            </w:r>
            <w:r w:rsidRPr="005D51B7">
              <w:rPr>
                <w:sz w:val="24"/>
                <w:szCs w:val="24"/>
              </w:rPr>
              <w:t>）</w:t>
            </w:r>
            <w:r w:rsidRPr="005D51B7">
              <w:rPr>
                <w:sz w:val="24"/>
                <w:szCs w:val="24"/>
              </w:rPr>
              <w:t>%</w:t>
            </w:r>
          </w:p>
        </w:tc>
        <w:tc>
          <w:tcPr>
            <w:tcW w:w="1689" w:type="pct"/>
            <w:gridSpan w:val="4"/>
            <w:vMerge/>
            <w:vAlign w:val="center"/>
          </w:tcPr>
          <w:p w:rsidR="00FD740D" w:rsidRPr="005D51B7" w:rsidRDefault="00FD740D" w:rsidP="00655744">
            <w:pPr>
              <w:jc w:val="center"/>
              <w:rPr>
                <w:sz w:val="24"/>
                <w:szCs w:val="24"/>
              </w:rPr>
            </w:pPr>
          </w:p>
        </w:tc>
      </w:tr>
      <w:tr w:rsidR="005D51B7" w:rsidRPr="005D51B7" w:rsidTr="005D51B7">
        <w:trPr>
          <w:trHeight w:val="434"/>
          <w:jc w:val="center"/>
        </w:trPr>
        <w:tc>
          <w:tcPr>
            <w:tcW w:w="593" w:type="pct"/>
            <w:vMerge/>
            <w:vAlign w:val="center"/>
          </w:tcPr>
          <w:p w:rsidR="00FD740D" w:rsidRPr="005D51B7" w:rsidRDefault="00FD740D" w:rsidP="00FD74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FD740D" w:rsidRPr="005D51B7" w:rsidRDefault="00FD740D" w:rsidP="00FD740D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AUC</w:t>
            </w:r>
            <w:r w:rsidRPr="005D51B7">
              <w:rPr>
                <w:sz w:val="24"/>
                <w:szCs w:val="24"/>
                <w:vertAlign w:val="subscript"/>
              </w:rPr>
              <w:t>0-t</w:t>
            </w:r>
            <w:r w:rsidRPr="005D51B7">
              <w:rPr>
                <w:sz w:val="24"/>
                <w:szCs w:val="24"/>
              </w:rPr>
              <w:t>（</w:t>
            </w:r>
            <w:proofErr w:type="spellStart"/>
            <w:r w:rsidRPr="005D51B7">
              <w:rPr>
                <w:sz w:val="24"/>
                <w:szCs w:val="24"/>
              </w:rPr>
              <w:t>h·ng</w:t>
            </w:r>
            <w:proofErr w:type="spellEnd"/>
            <w:r w:rsidRPr="005D51B7">
              <w:rPr>
                <w:sz w:val="24"/>
                <w:szCs w:val="24"/>
              </w:rPr>
              <w:t>/mL</w:t>
            </w:r>
            <w:r w:rsidRPr="005D51B7">
              <w:rPr>
                <w:sz w:val="24"/>
                <w:szCs w:val="24"/>
              </w:rPr>
              <w:t>）</w:t>
            </w:r>
          </w:p>
        </w:tc>
        <w:tc>
          <w:tcPr>
            <w:tcW w:w="555" w:type="pct"/>
            <w:vAlign w:val="center"/>
          </w:tcPr>
          <w:p w:rsidR="00FD740D" w:rsidRPr="005D51B7" w:rsidRDefault="00FD740D" w:rsidP="00FD740D">
            <w:pPr>
              <w:keepNext/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7058.84</w:t>
            </w:r>
          </w:p>
        </w:tc>
        <w:tc>
          <w:tcPr>
            <w:tcW w:w="555" w:type="pct"/>
            <w:vAlign w:val="center"/>
          </w:tcPr>
          <w:p w:rsidR="00FD740D" w:rsidRPr="005D51B7" w:rsidRDefault="00FD740D" w:rsidP="00FD740D">
            <w:pPr>
              <w:keepNext/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6661.34</w:t>
            </w:r>
          </w:p>
        </w:tc>
        <w:tc>
          <w:tcPr>
            <w:tcW w:w="631" w:type="pct"/>
            <w:vAlign w:val="center"/>
          </w:tcPr>
          <w:p w:rsidR="00FD740D" w:rsidRPr="005D51B7" w:rsidRDefault="00FD740D" w:rsidP="00FD740D">
            <w:pPr>
              <w:keepNext/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105.97</w:t>
            </w:r>
          </w:p>
        </w:tc>
        <w:tc>
          <w:tcPr>
            <w:tcW w:w="1689" w:type="pct"/>
            <w:gridSpan w:val="4"/>
            <w:vAlign w:val="center"/>
          </w:tcPr>
          <w:p w:rsidR="00FD740D" w:rsidRPr="005D51B7" w:rsidRDefault="00FD740D" w:rsidP="00FD740D">
            <w:pPr>
              <w:keepNext/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97.17-115.56</w:t>
            </w:r>
          </w:p>
        </w:tc>
      </w:tr>
      <w:tr w:rsidR="005D51B7" w:rsidRPr="005D51B7" w:rsidTr="005D51B7">
        <w:trPr>
          <w:trHeight w:val="464"/>
          <w:jc w:val="center"/>
        </w:trPr>
        <w:tc>
          <w:tcPr>
            <w:tcW w:w="593" w:type="pct"/>
            <w:vMerge/>
            <w:vAlign w:val="center"/>
          </w:tcPr>
          <w:p w:rsidR="00FD740D" w:rsidRPr="005D51B7" w:rsidRDefault="00FD740D" w:rsidP="00FD74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FD740D" w:rsidRPr="005D51B7" w:rsidRDefault="00FD740D" w:rsidP="00FD740D">
            <w:pPr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AUC</w:t>
            </w:r>
            <w:r w:rsidRPr="005D51B7">
              <w:rPr>
                <w:sz w:val="24"/>
                <w:szCs w:val="24"/>
                <w:vertAlign w:val="subscript"/>
              </w:rPr>
              <w:t>0-∞</w:t>
            </w:r>
            <w:r w:rsidRPr="005D51B7">
              <w:rPr>
                <w:sz w:val="24"/>
                <w:szCs w:val="24"/>
              </w:rPr>
              <w:t>（</w:t>
            </w:r>
            <w:proofErr w:type="spellStart"/>
            <w:r w:rsidRPr="005D51B7">
              <w:rPr>
                <w:sz w:val="24"/>
                <w:szCs w:val="24"/>
              </w:rPr>
              <w:t>h·ng</w:t>
            </w:r>
            <w:proofErr w:type="spellEnd"/>
            <w:r w:rsidRPr="005D51B7">
              <w:rPr>
                <w:sz w:val="24"/>
                <w:szCs w:val="24"/>
              </w:rPr>
              <w:t>/mL</w:t>
            </w:r>
            <w:r w:rsidRPr="005D51B7">
              <w:rPr>
                <w:sz w:val="24"/>
                <w:szCs w:val="24"/>
              </w:rPr>
              <w:t>）</w:t>
            </w:r>
          </w:p>
        </w:tc>
        <w:tc>
          <w:tcPr>
            <w:tcW w:w="555" w:type="pct"/>
            <w:vAlign w:val="center"/>
          </w:tcPr>
          <w:p w:rsidR="00FD740D" w:rsidRPr="005D51B7" w:rsidRDefault="00FD740D" w:rsidP="00FD740D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7244.19</w:t>
            </w:r>
          </w:p>
        </w:tc>
        <w:tc>
          <w:tcPr>
            <w:tcW w:w="555" w:type="pct"/>
            <w:vAlign w:val="center"/>
          </w:tcPr>
          <w:p w:rsidR="00FD740D" w:rsidRPr="005D51B7" w:rsidRDefault="00FD740D" w:rsidP="00FD740D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6889.57</w:t>
            </w:r>
          </w:p>
        </w:tc>
        <w:tc>
          <w:tcPr>
            <w:tcW w:w="631" w:type="pct"/>
            <w:vAlign w:val="center"/>
          </w:tcPr>
          <w:p w:rsidR="00FD740D" w:rsidRPr="005D51B7" w:rsidRDefault="00FD740D" w:rsidP="00FD740D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105.15</w:t>
            </w:r>
          </w:p>
        </w:tc>
        <w:tc>
          <w:tcPr>
            <w:tcW w:w="1689" w:type="pct"/>
            <w:gridSpan w:val="4"/>
            <w:vAlign w:val="center"/>
          </w:tcPr>
          <w:p w:rsidR="00FD740D" w:rsidRPr="005D51B7" w:rsidRDefault="00FD740D" w:rsidP="00FD740D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96.69-114.35</w:t>
            </w:r>
            <w:bookmarkStart w:id="0" w:name="_GoBack"/>
            <w:bookmarkEnd w:id="0"/>
          </w:p>
        </w:tc>
      </w:tr>
      <w:tr w:rsidR="005D51B7" w:rsidRPr="005D51B7" w:rsidTr="005D51B7">
        <w:trPr>
          <w:trHeight w:val="213"/>
          <w:jc w:val="center"/>
        </w:trPr>
        <w:tc>
          <w:tcPr>
            <w:tcW w:w="593" w:type="pct"/>
            <w:vMerge/>
            <w:vAlign w:val="center"/>
          </w:tcPr>
          <w:p w:rsidR="00965B97" w:rsidRPr="005D51B7" w:rsidRDefault="00965B97" w:rsidP="00FD74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pct"/>
            <w:vMerge w:val="restart"/>
            <w:vAlign w:val="center"/>
          </w:tcPr>
          <w:p w:rsidR="00965B97" w:rsidRPr="005D51B7" w:rsidRDefault="00965B97" w:rsidP="00FD740D">
            <w:pPr>
              <w:jc w:val="center"/>
              <w:rPr>
                <w:sz w:val="24"/>
                <w:szCs w:val="24"/>
              </w:rPr>
            </w:pPr>
            <w:proofErr w:type="spellStart"/>
            <w:r w:rsidRPr="005D51B7">
              <w:rPr>
                <w:sz w:val="24"/>
                <w:szCs w:val="24"/>
              </w:rPr>
              <w:t>C</w:t>
            </w:r>
            <w:r w:rsidRPr="005D51B7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5D51B7">
              <w:rPr>
                <w:sz w:val="24"/>
                <w:szCs w:val="24"/>
              </w:rPr>
              <w:t>（</w:t>
            </w:r>
            <w:r w:rsidRPr="005D51B7">
              <w:rPr>
                <w:sz w:val="24"/>
                <w:szCs w:val="24"/>
              </w:rPr>
              <w:t>ng/mL</w:t>
            </w:r>
            <w:r w:rsidRPr="005D51B7">
              <w:rPr>
                <w:sz w:val="24"/>
                <w:szCs w:val="24"/>
              </w:rPr>
              <w:t>）</w:t>
            </w:r>
          </w:p>
        </w:tc>
        <w:tc>
          <w:tcPr>
            <w:tcW w:w="555" w:type="pct"/>
            <w:vMerge w:val="restart"/>
            <w:vAlign w:val="center"/>
          </w:tcPr>
          <w:p w:rsidR="00965B97" w:rsidRPr="005D51B7" w:rsidRDefault="00965B97" w:rsidP="00FD740D">
            <w:pPr>
              <w:adjustRightInd w:val="0"/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</w:rPr>
              <w:t>899.12</w:t>
            </w:r>
          </w:p>
        </w:tc>
        <w:tc>
          <w:tcPr>
            <w:tcW w:w="555" w:type="pct"/>
            <w:vMerge w:val="restart"/>
            <w:vAlign w:val="center"/>
          </w:tcPr>
          <w:p w:rsidR="00965B97" w:rsidRPr="005D51B7" w:rsidRDefault="00965B97" w:rsidP="00FD740D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831.71</w:t>
            </w:r>
          </w:p>
        </w:tc>
        <w:tc>
          <w:tcPr>
            <w:tcW w:w="631" w:type="pct"/>
            <w:vMerge w:val="restart"/>
            <w:vAlign w:val="center"/>
          </w:tcPr>
          <w:p w:rsidR="00965B97" w:rsidRPr="005D51B7" w:rsidRDefault="00965B97" w:rsidP="00FD740D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108.10</w:t>
            </w:r>
          </w:p>
        </w:tc>
        <w:tc>
          <w:tcPr>
            <w:tcW w:w="494" w:type="pct"/>
            <w:vAlign w:val="center"/>
          </w:tcPr>
          <w:p w:rsidR="00965B97" w:rsidRPr="005D51B7" w:rsidRDefault="005D51B7" w:rsidP="00FD740D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 w:rsidRPr="005D51B7">
              <w:rPr>
                <w:sz w:val="24"/>
                <w:szCs w:val="24"/>
                <w:lang w:eastAsia="en-US"/>
              </w:rPr>
              <w:t>Swr</w:t>
            </w:r>
            <w:proofErr w:type="spellEnd"/>
          </w:p>
        </w:tc>
        <w:tc>
          <w:tcPr>
            <w:tcW w:w="585" w:type="pct"/>
            <w:vAlign w:val="center"/>
          </w:tcPr>
          <w:p w:rsidR="00965B97" w:rsidRPr="005D51B7" w:rsidRDefault="005D51B7" w:rsidP="00FD740D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proofErr w:type="spellStart"/>
            <w:r w:rsidRPr="005D51B7">
              <w:rPr>
                <w:sz w:val="24"/>
                <w:szCs w:val="24"/>
                <w:lang w:eastAsia="en-US"/>
              </w:rPr>
              <w:t>界值标准</w:t>
            </w:r>
            <w:proofErr w:type="spellEnd"/>
          </w:p>
        </w:tc>
        <w:tc>
          <w:tcPr>
            <w:tcW w:w="610" w:type="pct"/>
            <w:gridSpan w:val="2"/>
            <w:vAlign w:val="center"/>
          </w:tcPr>
          <w:p w:rsidR="00965B97" w:rsidRPr="005D51B7" w:rsidRDefault="005D51B7" w:rsidP="00FD740D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5D51B7">
              <w:rPr>
                <w:sz w:val="24"/>
                <w:szCs w:val="24"/>
                <w:lang w:eastAsia="en-US"/>
              </w:rPr>
              <w:t>T/</w:t>
            </w:r>
            <w:proofErr w:type="spellStart"/>
            <w:r w:rsidRPr="005D51B7">
              <w:rPr>
                <w:sz w:val="24"/>
                <w:szCs w:val="24"/>
                <w:lang w:eastAsia="en-US"/>
              </w:rPr>
              <w:t>R</w:t>
            </w:r>
            <w:r w:rsidRPr="005D51B7">
              <w:rPr>
                <w:sz w:val="24"/>
                <w:szCs w:val="24"/>
                <w:lang w:eastAsia="en-US"/>
              </w:rPr>
              <w:t>比值</w:t>
            </w:r>
            <w:proofErr w:type="spellEnd"/>
            <w:r w:rsidRPr="005D51B7">
              <w:rPr>
                <w:sz w:val="24"/>
                <w:szCs w:val="24"/>
                <w:lang w:eastAsia="en-US"/>
              </w:rPr>
              <w:br/>
              <w:t>(%)</w:t>
            </w:r>
          </w:p>
        </w:tc>
      </w:tr>
      <w:tr w:rsidR="005D51B7" w:rsidRPr="005D51B7" w:rsidTr="005D51B7">
        <w:trPr>
          <w:trHeight w:val="270"/>
          <w:jc w:val="center"/>
        </w:trPr>
        <w:tc>
          <w:tcPr>
            <w:tcW w:w="593" w:type="pct"/>
            <w:vMerge/>
            <w:vAlign w:val="center"/>
          </w:tcPr>
          <w:p w:rsidR="005D51B7" w:rsidRPr="005D51B7" w:rsidRDefault="005D51B7" w:rsidP="005D51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pct"/>
            <w:vMerge/>
            <w:vAlign w:val="center"/>
          </w:tcPr>
          <w:p w:rsidR="005D51B7" w:rsidRPr="005D51B7" w:rsidRDefault="005D51B7" w:rsidP="005D51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" w:type="pct"/>
            <w:vMerge/>
            <w:vAlign w:val="center"/>
          </w:tcPr>
          <w:p w:rsidR="005D51B7" w:rsidRPr="005D51B7" w:rsidRDefault="005D51B7" w:rsidP="005D51B7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555" w:type="pct"/>
            <w:vMerge/>
            <w:vAlign w:val="center"/>
          </w:tcPr>
          <w:p w:rsidR="005D51B7" w:rsidRPr="005D51B7" w:rsidRDefault="005D51B7" w:rsidP="005D51B7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631" w:type="pct"/>
            <w:vMerge/>
            <w:vAlign w:val="center"/>
          </w:tcPr>
          <w:p w:rsidR="005D51B7" w:rsidRPr="005D51B7" w:rsidRDefault="005D51B7" w:rsidP="005D51B7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494" w:type="pct"/>
            <w:vAlign w:val="center"/>
          </w:tcPr>
          <w:p w:rsidR="005D51B7" w:rsidRPr="005D51B7" w:rsidRDefault="005D51B7" w:rsidP="005D51B7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0.4095</w:t>
            </w:r>
          </w:p>
        </w:tc>
        <w:tc>
          <w:tcPr>
            <w:tcW w:w="592" w:type="pct"/>
            <w:gridSpan w:val="2"/>
            <w:vAlign w:val="center"/>
          </w:tcPr>
          <w:p w:rsidR="005D51B7" w:rsidRPr="005D51B7" w:rsidRDefault="005D51B7" w:rsidP="005D51B7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-0.0735</w:t>
            </w:r>
          </w:p>
        </w:tc>
        <w:tc>
          <w:tcPr>
            <w:tcW w:w="603" w:type="pct"/>
            <w:vAlign w:val="center"/>
          </w:tcPr>
          <w:p w:rsidR="005D51B7" w:rsidRPr="005D51B7" w:rsidRDefault="005D51B7" w:rsidP="005D51B7">
            <w:pPr>
              <w:widowControl/>
              <w:adjustRightInd w:val="0"/>
              <w:spacing w:before="30" w:after="30"/>
              <w:jc w:val="center"/>
              <w:rPr>
                <w:sz w:val="24"/>
                <w:szCs w:val="24"/>
                <w:lang w:eastAsia="en-US"/>
              </w:rPr>
            </w:pPr>
            <w:r w:rsidRPr="005D51B7">
              <w:rPr>
                <w:sz w:val="24"/>
                <w:szCs w:val="24"/>
                <w:lang w:eastAsia="en-US"/>
              </w:rPr>
              <w:t>108.10</w:t>
            </w:r>
          </w:p>
        </w:tc>
      </w:tr>
    </w:tbl>
    <w:p w:rsidR="001D2DC5" w:rsidRPr="00FD740D" w:rsidRDefault="001D2DC5" w:rsidP="006B4E40">
      <w:pPr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FD740D">
        <w:rPr>
          <w:rFonts w:ascii="Times New Roman" w:eastAsia="黑体" w:hAnsi="Times New Roman" w:cs="Times New Roman"/>
          <w:sz w:val="24"/>
          <w:szCs w:val="24"/>
        </w:rPr>
        <w:t>3.</w:t>
      </w:r>
      <w:r w:rsidRPr="00FD740D">
        <w:rPr>
          <w:rFonts w:ascii="Times New Roman" w:eastAsia="黑体" w:hAnsi="Times New Roman" w:cs="Times New Roman" w:hint="eastAsia"/>
          <w:sz w:val="24"/>
          <w:szCs w:val="24"/>
        </w:rPr>
        <w:t>审评结论</w:t>
      </w:r>
    </w:p>
    <w:p w:rsidR="001D2DC5" w:rsidRPr="00FD740D" w:rsidRDefault="001D2DC5" w:rsidP="006B4E4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D740D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FD740D" w:rsidRPr="00FD740D">
        <w:rPr>
          <w:rFonts w:ascii="Times New Roman" w:eastAsia="宋体" w:hAnsi="Times New Roman" w:cs="Times New Roman" w:hint="eastAsia"/>
          <w:sz w:val="24"/>
          <w:szCs w:val="24"/>
        </w:rPr>
        <w:t>丽珠集团丽珠制药厂生产</w:t>
      </w:r>
      <w:r w:rsidRPr="00FD740D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Start"/>
      <w:r w:rsidR="00FD740D" w:rsidRPr="00FD740D">
        <w:rPr>
          <w:rFonts w:ascii="Times New Roman" w:eastAsia="宋体" w:hAnsi="Times New Roman" w:cs="Times New Roman" w:hint="eastAsia"/>
          <w:sz w:val="24"/>
          <w:szCs w:val="24"/>
        </w:rPr>
        <w:t>缬沙坦</w:t>
      </w:r>
      <w:proofErr w:type="gramEnd"/>
      <w:r w:rsidR="00FD740D" w:rsidRPr="00FD740D">
        <w:rPr>
          <w:rFonts w:ascii="Times New Roman" w:eastAsia="宋体" w:hAnsi="Times New Roman" w:cs="Times New Roman" w:hint="eastAsia"/>
          <w:sz w:val="24"/>
          <w:szCs w:val="24"/>
        </w:rPr>
        <w:t>胶囊</w:t>
      </w:r>
      <w:r w:rsidRPr="00FD740D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1D2DC5" w:rsidRPr="00234A8F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1A7E3A" w:rsidRPr="00234A8F" w:rsidRDefault="001A7E3A">
      <w:pPr>
        <w:rPr>
          <w:color w:val="FF0000"/>
        </w:rPr>
      </w:pPr>
    </w:p>
    <w:sectPr w:rsidR="001A7E3A" w:rsidRPr="00234A8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317" w:rsidRDefault="00A57317" w:rsidP="001D2DC5">
      <w:r>
        <w:separator/>
      </w:r>
    </w:p>
  </w:endnote>
  <w:endnote w:type="continuationSeparator" w:id="0">
    <w:p w:rsidR="00A57317" w:rsidRDefault="00A57317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51B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51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317" w:rsidRDefault="00A57317" w:rsidP="001D2DC5">
      <w:r>
        <w:separator/>
      </w:r>
    </w:p>
  </w:footnote>
  <w:footnote w:type="continuationSeparator" w:id="0">
    <w:p w:rsidR="00A57317" w:rsidRDefault="00A57317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654E"/>
    <w:rsid w:val="00025F95"/>
    <w:rsid w:val="000404A0"/>
    <w:rsid w:val="00087A3C"/>
    <w:rsid w:val="000D01A2"/>
    <w:rsid w:val="000F5606"/>
    <w:rsid w:val="001524F4"/>
    <w:rsid w:val="001669A3"/>
    <w:rsid w:val="001737F8"/>
    <w:rsid w:val="001A7E3A"/>
    <w:rsid w:val="001C2A15"/>
    <w:rsid w:val="001C2A42"/>
    <w:rsid w:val="001D2DC5"/>
    <w:rsid w:val="001F2B5B"/>
    <w:rsid w:val="0021389E"/>
    <w:rsid w:val="00216F8D"/>
    <w:rsid w:val="00234A8F"/>
    <w:rsid w:val="00246F34"/>
    <w:rsid w:val="002519B9"/>
    <w:rsid w:val="00255676"/>
    <w:rsid w:val="00276F00"/>
    <w:rsid w:val="00283E13"/>
    <w:rsid w:val="002A3F02"/>
    <w:rsid w:val="003362B9"/>
    <w:rsid w:val="00344775"/>
    <w:rsid w:val="003564CE"/>
    <w:rsid w:val="00361774"/>
    <w:rsid w:val="003716B8"/>
    <w:rsid w:val="003735CE"/>
    <w:rsid w:val="003847FE"/>
    <w:rsid w:val="003A57A3"/>
    <w:rsid w:val="003B7B87"/>
    <w:rsid w:val="003F76F3"/>
    <w:rsid w:val="0041110A"/>
    <w:rsid w:val="004251EA"/>
    <w:rsid w:val="00430A88"/>
    <w:rsid w:val="0043776B"/>
    <w:rsid w:val="00466046"/>
    <w:rsid w:val="0046784F"/>
    <w:rsid w:val="00470EB2"/>
    <w:rsid w:val="00485719"/>
    <w:rsid w:val="00490E7C"/>
    <w:rsid w:val="004A332F"/>
    <w:rsid w:val="004A3F70"/>
    <w:rsid w:val="004B2BE6"/>
    <w:rsid w:val="004C0B8D"/>
    <w:rsid w:val="004C436C"/>
    <w:rsid w:val="004E6D42"/>
    <w:rsid w:val="004E7A8C"/>
    <w:rsid w:val="004F1C3E"/>
    <w:rsid w:val="004F66A5"/>
    <w:rsid w:val="00500560"/>
    <w:rsid w:val="00512BE9"/>
    <w:rsid w:val="005130D5"/>
    <w:rsid w:val="005265A0"/>
    <w:rsid w:val="00537264"/>
    <w:rsid w:val="00544098"/>
    <w:rsid w:val="00564948"/>
    <w:rsid w:val="0058485A"/>
    <w:rsid w:val="005C22A6"/>
    <w:rsid w:val="005D51B7"/>
    <w:rsid w:val="005E2F06"/>
    <w:rsid w:val="0060124C"/>
    <w:rsid w:val="00634F26"/>
    <w:rsid w:val="00645FAD"/>
    <w:rsid w:val="00653EF4"/>
    <w:rsid w:val="00655744"/>
    <w:rsid w:val="0066787F"/>
    <w:rsid w:val="00674D74"/>
    <w:rsid w:val="0068370A"/>
    <w:rsid w:val="00693B7C"/>
    <w:rsid w:val="00694247"/>
    <w:rsid w:val="006969B2"/>
    <w:rsid w:val="0069752D"/>
    <w:rsid w:val="006A25AD"/>
    <w:rsid w:val="006B4E40"/>
    <w:rsid w:val="006C057B"/>
    <w:rsid w:val="006C0771"/>
    <w:rsid w:val="006F0C3B"/>
    <w:rsid w:val="00702BA0"/>
    <w:rsid w:val="00702C30"/>
    <w:rsid w:val="00712FA9"/>
    <w:rsid w:val="00716523"/>
    <w:rsid w:val="00734516"/>
    <w:rsid w:val="00735146"/>
    <w:rsid w:val="00753EA6"/>
    <w:rsid w:val="007631AE"/>
    <w:rsid w:val="007A4A4F"/>
    <w:rsid w:val="007B0896"/>
    <w:rsid w:val="007C59E8"/>
    <w:rsid w:val="007D31CF"/>
    <w:rsid w:val="007E2FFC"/>
    <w:rsid w:val="007F4024"/>
    <w:rsid w:val="008024FA"/>
    <w:rsid w:val="0082237B"/>
    <w:rsid w:val="00833F16"/>
    <w:rsid w:val="00834A8F"/>
    <w:rsid w:val="0083784A"/>
    <w:rsid w:val="00856ED4"/>
    <w:rsid w:val="00861D58"/>
    <w:rsid w:val="00872CB4"/>
    <w:rsid w:val="008A01AC"/>
    <w:rsid w:val="008A553A"/>
    <w:rsid w:val="008A71CD"/>
    <w:rsid w:val="008E08C4"/>
    <w:rsid w:val="008E48D8"/>
    <w:rsid w:val="00911D7F"/>
    <w:rsid w:val="00912877"/>
    <w:rsid w:val="0094298D"/>
    <w:rsid w:val="009601CA"/>
    <w:rsid w:val="00965B97"/>
    <w:rsid w:val="00971672"/>
    <w:rsid w:val="009C7321"/>
    <w:rsid w:val="00A0018B"/>
    <w:rsid w:val="00A47F2E"/>
    <w:rsid w:val="00A57317"/>
    <w:rsid w:val="00A60B13"/>
    <w:rsid w:val="00AA58EF"/>
    <w:rsid w:val="00AB629B"/>
    <w:rsid w:val="00AB7566"/>
    <w:rsid w:val="00AC14A2"/>
    <w:rsid w:val="00AC2F14"/>
    <w:rsid w:val="00AE4105"/>
    <w:rsid w:val="00AF242B"/>
    <w:rsid w:val="00AF3C83"/>
    <w:rsid w:val="00B07F8D"/>
    <w:rsid w:val="00B142F1"/>
    <w:rsid w:val="00B35FEE"/>
    <w:rsid w:val="00B6215F"/>
    <w:rsid w:val="00B8166C"/>
    <w:rsid w:val="00B85D92"/>
    <w:rsid w:val="00B96D43"/>
    <w:rsid w:val="00B96DE8"/>
    <w:rsid w:val="00BA0651"/>
    <w:rsid w:val="00BA13B2"/>
    <w:rsid w:val="00BB6B6B"/>
    <w:rsid w:val="00C25F17"/>
    <w:rsid w:val="00C32AE4"/>
    <w:rsid w:val="00C345FE"/>
    <w:rsid w:val="00C55F88"/>
    <w:rsid w:val="00C724F8"/>
    <w:rsid w:val="00C75DA6"/>
    <w:rsid w:val="00C76D9D"/>
    <w:rsid w:val="00CA2913"/>
    <w:rsid w:val="00CB45F2"/>
    <w:rsid w:val="00CB4993"/>
    <w:rsid w:val="00CB70D9"/>
    <w:rsid w:val="00CC18BD"/>
    <w:rsid w:val="00CE37F3"/>
    <w:rsid w:val="00CF2031"/>
    <w:rsid w:val="00D12291"/>
    <w:rsid w:val="00D273F6"/>
    <w:rsid w:val="00D346CD"/>
    <w:rsid w:val="00D40C0A"/>
    <w:rsid w:val="00D40CC2"/>
    <w:rsid w:val="00D5238F"/>
    <w:rsid w:val="00D52407"/>
    <w:rsid w:val="00D54123"/>
    <w:rsid w:val="00D63F3A"/>
    <w:rsid w:val="00D7760C"/>
    <w:rsid w:val="00D82315"/>
    <w:rsid w:val="00D84AD6"/>
    <w:rsid w:val="00DA4815"/>
    <w:rsid w:val="00DC72F5"/>
    <w:rsid w:val="00DD447E"/>
    <w:rsid w:val="00DF69F2"/>
    <w:rsid w:val="00E167BA"/>
    <w:rsid w:val="00E204B9"/>
    <w:rsid w:val="00E24039"/>
    <w:rsid w:val="00E24C1E"/>
    <w:rsid w:val="00E405A8"/>
    <w:rsid w:val="00E57FDF"/>
    <w:rsid w:val="00E62B72"/>
    <w:rsid w:val="00E6792F"/>
    <w:rsid w:val="00E763FA"/>
    <w:rsid w:val="00EA6980"/>
    <w:rsid w:val="00EC731E"/>
    <w:rsid w:val="00F50F17"/>
    <w:rsid w:val="00F74604"/>
    <w:rsid w:val="00F767C9"/>
    <w:rsid w:val="00F82B4D"/>
    <w:rsid w:val="00F85920"/>
    <w:rsid w:val="00F956E1"/>
    <w:rsid w:val="00F9798B"/>
    <w:rsid w:val="00FA3CE4"/>
    <w:rsid w:val="00FB26DC"/>
    <w:rsid w:val="00FD3535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808DE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刘霏霏</cp:lastModifiedBy>
  <cp:revision>30</cp:revision>
  <dcterms:created xsi:type="dcterms:W3CDTF">2018-07-30T06:44:00Z</dcterms:created>
  <dcterms:modified xsi:type="dcterms:W3CDTF">2022-07-15T06:13:00Z</dcterms:modified>
</cp:coreProperties>
</file>