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Pr="004E7A8C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4E7A8C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4E7A8C" w:rsidRDefault="006B4E40" w:rsidP="006B4E40">
      <w:pPr>
        <w:widowControl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1D2DC5" w:rsidRPr="004E7A8C" w:rsidRDefault="001D2DC5" w:rsidP="00E6792F">
      <w:pPr>
        <w:spacing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7A8C">
        <w:rPr>
          <w:rFonts w:ascii="Times New Roman" w:eastAsia="黑体" w:hAnsi="Times New Roman" w:cs="Times New Roman"/>
          <w:sz w:val="24"/>
          <w:szCs w:val="24"/>
        </w:rPr>
        <w:t>1.</w:t>
      </w:r>
      <w:r w:rsidRPr="004E7A8C">
        <w:rPr>
          <w:rFonts w:ascii="Times New Roman" w:eastAsia="黑体" w:hAnsi="Times New Roman" w:cs="Times New Roman" w:hint="eastAsia"/>
          <w:sz w:val="24"/>
          <w:szCs w:val="24"/>
        </w:rPr>
        <w:t>基本情况汇总</w:t>
      </w:r>
      <w:r w:rsidRPr="004E7A8C">
        <w:rPr>
          <w:rFonts w:ascii="Times New Roman" w:eastAsia="黑体" w:hAnsi="Times New Roman" w:cs="Times New Roman"/>
          <w:sz w:val="24"/>
          <w:szCs w:val="24"/>
        </w:rPr>
        <w:t>表</w:t>
      </w:r>
    </w:p>
    <w:tbl>
      <w:tblPr>
        <w:tblW w:w="81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34"/>
        <w:gridCol w:w="5051"/>
      </w:tblGrid>
      <w:tr w:rsidR="004E7A8C" w:rsidRPr="004E7A8C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盐酸马</w:t>
            </w:r>
            <w:proofErr w:type="gramEnd"/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尼地平片</w:t>
            </w:r>
          </w:p>
        </w:tc>
      </w:tr>
      <w:tr w:rsidR="004E7A8C" w:rsidRPr="004E7A8C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B7656">
              <w:rPr>
                <w:rFonts w:ascii="Times New Roman" w:eastAsia="宋体" w:hAnsi="Times New Roman" w:cs="Times New Roman"/>
                <w:sz w:val="24"/>
                <w:szCs w:val="24"/>
              </w:rPr>
              <w:t>Manidipine</w:t>
            </w:r>
            <w:proofErr w:type="spellEnd"/>
            <w:r w:rsidRPr="00FB765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4E7A8C" w:rsidRPr="004E7A8C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051" w:type="dxa"/>
            <w:vAlign w:val="center"/>
          </w:tcPr>
          <w:p w:rsidR="001D2DC5" w:rsidRPr="004E7A8C" w:rsidRDefault="00655744" w:rsidP="004E7A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片剂：</w:t>
            </w:r>
            <w:r w:rsidR="004E7A8C" w:rsidRPr="00FB7656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4E7A8C" w:rsidRPr="004E7A8C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7656">
              <w:rPr>
                <w:rFonts w:ascii="宋体" w:eastAsia="宋体" w:hAnsi="宋体" w:cs="宋体" w:hint="eastAsia"/>
                <w:spacing w:val="2"/>
                <w:kern w:val="0"/>
                <w:sz w:val="24"/>
                <w:szCs w:val="21"/>
              </w:rPr>
              <w:t>许昌恒生制药有限公司</w:t>
            </w:r>
          </w:p>
        </w:tc>
      </w:tr>
      <w:tr w:rsidR="004E7A8C" w:rsidRPr="004E7A8C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7656">
              <w:rPr>
                <w:rFonts w:ascii="Times New Roman" w:eastAsia="宋体" w:hAnsi="Times New Roman" w:cs="Times New Roman" w:hint="eastAsia"/>
                <w:spacing w:val="2"/>
                <w:kern w:val="0"/>
                <w:sz w:val="24"/>
                <w:szCs w:val="24"/>
              </w:rPr>
              <w:t>许昌市</w:t>
            </w:r>
            <w:proofErr w:type="gramStart"/>
            <w:r w:rsidRPr="00FB7656">
              <w:rPr>
                <w:rFonts w:ascii="Times New Roman" w:eastAsia="宋体" w:hAnsi="Times New Roman" w:cs="Times New Roman" w:hint="eastAsia"/>
                <w:spacing w:val="2"/>
                <w:kern w:val="0"/>
                <w:sz w:val="24"/>
                <w:szCs w:val="24"/>
              </w:rPr>
              <w:t>建安区</w:t>
            </w:r>
            <w:proofErr w:type="gramEnd"/>
            <w:r w:rsidRPr="00FB7656">
              <w:rPr>
                <w:rFonts w:ascii="Times New Roman" w:eastAsia="宋体" w:hAnsi="Times New Roman" w:cs="Times New Roman" w:hint="eastAsia"/>
                <w:spacing w:val="2"/>
                <w:kern w:val="0"/>
                <w:sz w:val="24"/>
                <w:szCs w:val="24"/>
              </w:rPr>
              <w:t>精细化工园区</w:t>
            </w:r>
          </w:p>
        </w:tc>
      </w:tr>
      <w:tr w:rsidR="004E7A8C" w:rsidRPr="004E7A8C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7656">
              <w:rPr>
                <w:rFonts w:ascii="宋体" w:eastAsia="宋体" w:hAnsi="宋体" w:cs="宋体" w:hint="eastAsia"/>
                <w:spacing w:val="2"/>
                <w:kern w:val="0"/>
                <w:sz w:val="24"/>
                <w:szCs w:val="21"/>
              </w:rPr>
              <w:t>许昌恒生制药有限公司</w:t>
            </w:r>
          </w:p>
        </w:tc>
      </w:tr>
      <w:tr w:rsidR="004E7A8C" w:rsidRPr="004E7A8C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4E7A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  <w:r w:rsidR="00655744"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="00655744"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：国药准字</w:t>
            </w:r>
            <w:r w:rsidR="00655744"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H2022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7058</w:t>
            </w:r>
          </w:p>
        </w:tc>
      </w:tr>
      <w:tr w:rsidR="004E7A8C" w:rsidRPr="004E7A8C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051" w:type="dxa"/>
            <w:vAlign w:val="center"/>
          </w:tcPr>
          <w:p w:rsidR="001D2DC5" w:rsidRPr="004E7A8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E7A8C" w:rsidRPr="004E7A8C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051" w:type="dxa"/>
            <w:vAlign w:val="center"/>
          </w:tcPr>
          <w:p w:rsidR="001D2DC5" w:rsidRPr="004E7A8C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1D2DC5"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1D2DC5" w:rsidRPr="004E7A8C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1D2DC5"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1D2DC5" w:rsidRPr="004E7A8C" w:rsidRDefault="001D2DC5" w:rsidP="006B4E4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4E7A8C" w:rsidRPr="004E7A8C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20191202</w:t>
            </w:r>
          </w:p>
        </w:tc>
      </w:tr>
      <w:tr w:rsidR="004E7A8C" w:rsidRPr="004E7A8C" w:rsidTr="004E7A8C">
        <w:trPr>
          <w:trHeight w:val="318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7656">
              <w:rPr>
                <w:rFonts w:ascii="Times New Roman" w:eastAsia="宋体" w:hAnsi="Times New Roman" w:cs="Times New Roman"/>
                <w:sz w:val="24"/>
                <w:szCs w:val="24"/>
              </w:rPr>
              <w:t>许昌恒生制药有限公司</w:t>
            </w:r>
          </w:p>
        </w:tc>
      </w:tr>
      <w:tr w:rsidR="004E7A8C" w:rsidRPr="004E7A8C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051" w:type="dxa"/>
            <w:vAlign w:val="center"/>
          </w:tcPr>
          <w:p w:rsidR="001D2DC5" w:rsidRPr="004E7A8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符合要求</w:t>
            </w:r>
          </w:p>
        </w:tc>
      </w:tr>
      <w:tr w:rsidR="004E7A8C" w:rsidRPr="004E7A8C" w:rsidTr="00E6792F">
        <w:trPr>
          <w:trHeight w:val="782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051" w:type="dxa"/>
            <w:vAlign w:val="center"/>
          </w:tcPr>
          <w:p w:rsidR="001D2DC5" w:rsidRPr="004E7A8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D2DC5" w:rsidRPr="004E7A8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D2DC5" w:rsidRPr="004E7A8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1D2DC5" w:rsidRPr="004E7A8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4E7A8C" w:rsidRPr="004E7A8C" w:rsidTr="00E6792F">
        <w:trPr>
          <w:trHeight w:val="506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B202000127-01</w:t>
            </w:r>
          </w:p>
        </w:tc>
      </w:tr>
      <w:tr w:rsidR="004E7A8C" w:rsidRPr="004E7A8C" w:rsidTr="00E6792F">
        <w:trPr>
          <w:trHeight w:val="477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郑州大学附属洛阳中心医院（洛阳市中心医院）</w:t>
            </w:r>
          </w:p>
        </w:tc>
      </w:tr>
      <w:tr w:rsidR="004E7A8C" w:rsidRPr="004E7A8C" w:rsidTr="00E6792F">
        <w:trPr>
          <w:trHeight w:val="422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4E7A8C" w:rsidRPr="004E7A8C" w:rsidTr="00E6792F">
        <w:trPr>
          <w:trHeight w:val="497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万舒（北京）医药科技有限公司</w:t>
            </w:r>
          </w:p>
        </w:tc>
      </w:tr>
      <w:tr w:rsidR="004E7A8C" w:rsidRPr="004E7A8C" w:rsidTr="00E6792F">
        <w:trPr>
          <w:trHeight w:val="470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4E7A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</w:t>
            </w: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及餐后</w:t>
            </w: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状态下单中心、随机、开放、双周期、双交叉</w:t>
            </w: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、单次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给药</w:t>
            </w: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的生物等效性试验设计</w:t>
            </w:r>
          </w:p>
        </w:tc>
      </w:tr>
      <w:tr w:rsidR="004E7A8C" w:rsidRPr="004E7A8C" w:rsidTr="00E6792F">
        <w:trPr>
          <w:trHeight w:val="475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051" w:type="dxa"/>
            <w:vAlign w:val="center"/>
          </w:tcPr>
          <w:p w:rsidR="001D2DC5" w:rsidRPr="004E7A8C" w:rsidRDefault="00655744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</w:t>
            </w:r>
            <w:r w:rsidR="004E7A8C"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马尼地平</w:t>
            </w: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浓度</w:t>
            </w:r>
          </w:p>
        </w:tc>
      </w:tr>
      <w:tr w:rsidR="004E7A8C" w:rsidRPr="004E7A8C" w:rsidTr="00E6792F">
        <w:trPr>
          <w:trHeight w:val="466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051" w:type="dxa"/>
            <w:vAlign w:val="center"/>
          </w:tcPr>
          <w:p w:rsidR="001D2DC5" w:rsidRPr="004E7A8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UP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4E7A8C" w:rsidRPr="004E7A8C" w:rsidTr="00E6792F">
        <w:trPr>
          <w:trHeight w:val="486"/>
          <w:jc w:val="center"/>
        </w:trPr>
        <w:tc>
          <w:tcPr>
            <w:tcW w:w="3134" w:type="dxa"/>
            <w:vAlign w:val="center"/>
          </w:tcPr>
          <w:p w:rsidR="001D2DC5" w:rsidRPr="004E7A8C" w:rsidRDefault="001D2DC5" w:rsidP="004E7A8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051" w:type="dxa"/>
            <w:vAlign w:val="center"/>
          </w:tcPr>
          <w:p w:rsidR="001D2DC5" w:rsidRPr="004E7A8C" w:rsidRDefault="004E7A8C" w:rsidP="004E7A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未</w:t>
            </w:r>
            <w:r w:rsidR="00655744"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="00655744" w:rsidRPr="004E7A8C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  <w:r w:rsidR="00655744" w:rsidRPr="004E7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规格的生物等效性试验</w:t>
            </w:r>
          </w:p>
        </w:tc>
      </w:tr>
    </w:tbl>
    <w:p w:rsidR="001D2DC5" w:rsidRPr="004E7A8C" w:rsidRDefault="001D2DC5" w:rsidP="001669A3">
      <w:pPr>
        <w:spacing w:beforeLines="100" w:before="312"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7A8C">
        <w:rPr>
          <w:rFonts w:ascii="Times New Roman" w:eastAsia="黑体" w:hAnsi="Times New Roman" w:cs="Times New Roman"/>
          <w:sz w:val="24"/>
          <w:szCs w:val="24"/>
        </w:rPr>
        <w:lastRenderedPageBreak/>
        <w:t>2.</w:t>
      </w:r>
      <w:r w:rsidRPr="004E7A8C">
        <w:rPr>
          <w:rFonts w:ascii="Times New Roman" w:eastAsia="黑体" w:hAnsi="Times New Roman" w:cs="Times New Roman" w:hint="eastAsia"/>
          <w:sz w:val="24"/>
          <w:szCs w:val="24"/>
        </w:rPr>
        <w:t>生物等效性研究结果</w:t>
      </w:r>
    </w:p>
    <w:p w:rsidR="001D2DC5" w:rsidRPr="004E7A8C" w:rsidRDefault="001D2DC5" w:rsidP="00694247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4E7A8C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4E7A8C">
        <w:rPr>
          <w:rFonts w:ascii="Times New Roman" w:eastAsia="宋体" w:hAnsi="Times New Roman" w:cs="Times New Roman"/>
          <w:sz w:val="24"/>
          <w:szCs w:val="24"/>
        </w:rPr>
        <w:t xml:space="preserve">1. </w:t>
      </w:r>
      <w:proofErr w:type="gramStart"/>
      <w:r w:rsidR="004E7A8C" w:rsidRPr="004E7A8C">
        <w:rPr>
          <w:rFonts w:ascii="Times New Roman" w:eastAsia="宋体" w:hAnsi="Times New Roman" w:cs="Times New Roman" w:hint="eastAsia"/>
          <w:sz w:val="24"/>
          <w:szCs w:val="24"/>
        </w:rPr>
        <w:t>盐酸马</w:t>
      </w:r>
      <w:proofErr w:type="gramEnd"/>
      <w:r w:rsidR="004E7A8C" w:rsidRPr="004E7A8C">
        <w:rPr>
          <w:rFonts w:ascii="Times New Roman" w:eastAsia="宋体" w:hAnsi="Times New Roman" w:cs="Times New Roman" w:hint="eastAsia"/>
          <w:sz w:val="24"/>
          <w:szCs w:val="24"/>
        </w:rPr>
        <w:t>尼地平</w:t>
      </w:r>
      <w:r w:rsidR="004E7A8C" w:rsidRPr="004E7A8C">
        <w:rPr>
          <w:rFonts w:ascii="Times New Roman" w:eastAsia="宋体" w:hAnsi="Times New Roman" w:cs="Times New Roman"/>
          <w:sz w:val="24"/>
          <w:szCs w:val="24"/>
        </w:rPr>
        <w:t>片</w:t>
      </w:r>
      <w:r w:rsidRPr="004E7A8C">
        <w:rPr>
          <w:rFonts w:ascii="Times New Roman" w:eastAsia="宋体" w:hAnsi="Times New Roman" w:cs="Times New Roman"/>
          <w:sz w:val="24"/>
          <w:szCs w:val="24"/>
        </w:rPr>
        <w:t>（</w:t>
      </w:r>
      <w:r w:rsidR="004E7A8C" w:rsidRPr="004E7A8C">
        <w:rPr>
          <w:rFonts w:ascii="Times New Roman" w:eastAsia="宋体" w:hAnsi="Times New Roman" w:cs="Times New Roman"/>
          <w:sz w:val="24"/>
          <w:szCs w:val="24"/>
        </w:rPr>
        <w:t>10</w:t>
      </w:r>
      <w:r w:rsidR="00655744" w:rsidRPr="004E7A8C">
        <w:rPr>
          <w:rFonts w:ascii="Times New Roman" w:eastAsia="宋体" w:hAnsi="Times New Roman" w:cs="Times New Roman"/>
          <w:sz w:val="24"/>
          <w:szCs w:val="24"/>
        </w:rPr>
        <w:t>mg</w:t>
      </w:r>
      <w:r w:rsidRPr="004E7A8C">
        <w:rPr>
          <w:rFonts w:ascii="Times New Roman" w:eastAsia="宋体" w:hAnsi="Times New Roman" w:cs="Times New Roman"/>
          <w:sz w:val="24"/>
          <w:szCs w:val="24"/>
        </w:rPr>
        <w:t>）</w:t>
      </w:r>
      <w:r w:rsidRPr="004E7A8C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4E7A8C" w:rsidRPr="004E7A8C">
        <w:rPr>
          <w:rFonts w:ascii="Times New Roman" w:eastAsia="宋体" w:hAnsi="Times New Roman" w:cs="Times New Roman" w:hint="eastAsia"/>
          <w:sz w:val="24"/>
          <w:szCs w:val="24"/>
        </w:rPr>
        <w:t>马尼地平</w:t>
      </w:r>
      <w:r w:rsidRPr="004E7A8C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4E7A8C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4E7A8C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4E7A8C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9170" w:type="dxa"/>
        <w:jc w:val="center"/>
        <w:tblLook w:val="04A0" w:firstRow="1" w:lastRow="0" w:firstColumn="1" w:lastColumn="0" w:noHBand="0" w:noVBand="1"/>
      </w:tblPr>
      <w:tblGrid>
        <w:gridCol w:w="1192"/>
        <w:gridCol w:w="2346"/>
        <w:gridCol w:w="1117"/>
        <w:gridCol w:w="1122"/>
        <w:gridCol w:w="1271"/>
        <w:gridCol w:w="2122"/>
      </w:tblGrid>
      <w:tr w:rsidR="004E7A8C" w:rsidRPr="004E7A8C" w:rsidTr="00655744">
        <w:trPr>
          <w:trHeight w:val="405"/>
          <w:jc w:val="center"/>
        </w:trPr>
        <w:tc>
          <w:tcPr>
            <w:tcW w:w="650" w:type="pct"/>
            <w:vMerge w:val="restart"/>
            <w:vAlign w:val="center"/>
          </w:tcPr>
          <w:p w:rsidR="001D2DC5" w:rsidRPr="004E7A8C" w:rsidRDefault="001D2DC5" w:rsidP="006B4E40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空腹</w:t>
            </w:r>
            <w:r w:rsidRPr="004E7A8C">
              <w:rPr>
                <w:sz w:val="24"/>
                <w:szCs w:val="24"/>
              </w:rPr>
              <w:t>BE</w:t>
            </w:r>
          </w:p>
          <w:p w:rsidR="001D2DC5" w:rsidRPr="004E7A8C" w:rsidRDefault="001D2DC5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（</w:t>
            </w:r>
            <w:r w:rsidRPr="004E7A8C">
              <w:rPr>
                <w:sz w:val="24"/>
                <w:szCs w:val="24"/>
              </w:rPr>
              <w:t>n=</w:t>
            </w:r>
            <w:r w:rsidR="004E7A8C" w:rsidRPr="004E7A8C">
              <w:rPr>
                <w:sz w:val="24"/>
                <w:szCs w:val="24"/>
              </w:rPr>
              <w:t>30</w:t>
            </w:r>
            <w:r w:rsidRPr="004E7A8C">
              <w:rPr>
                <w:sz w:val="24"/>
                <w:szCs w:val="24"/>
              </w:rPr>
              <w:t>）</w:t>
            </w:r>
          </w:p>
        </w:tc>
        <w:tc>
          <w:tcPr>
            <w:tcW w:w="1279" w:type="pct"/>
            <w:vMerge w:val="restart"/>
            <w:vAlign w:val="center"/>
          </w:tcPr>
          <w:p w:rsidR="001D2DC5" w:rsidRPr="004E7A8C" w:rsidRDefault="001D2DC5" w:rsidP="006B4E40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参数</w:t>
            </w:r>
          </w:p>
        </w:tc>
        <w:tc>
          <w:tcPr>
            <w:tcW w:w="1914" w:type="pct"/>
            <w:gridSpan w:val="3"/>
            <w:vAlign w:val="center"/>
          </w:tcPr>
          <w:p w:rsidR="001D2DC5" w:rsidRPr="004E7A8C" w:rsidRDefault="001D2DC5" w:rsidP="006B4E40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几何均值及比值</w:t>
            </w:r>
          </w:p>
        </w:tc>
        <w:tc>
          <w:tcPr>
            <w:tcW w:w="1157" w:type="pct"/>
            <w:vMerge w:val="restart"/>
            <w:vAlign w:val="center"/>
          </w:tcPr>
          <w:p w:rsidR="001D2DC5" w:rsidRPr="004E7A8C" w:rsidRDefault="001D2DC5" w:rsidP="006B4E40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90%CI</w:t>
            </w:r>
          </w:p>
        </w:tc>
      </w:tr>
      <w:tr w:rsidR="004E7A8C" w:rsidRPr="004E7A8C" w:rsidTr="00655744">
        <w:trPr>
          <w:trHeight w:val="405"/>
          <w:jc w:val="center"/>
        </w:trPr>
        <w:tc>
          <w:tcPr>
            <w:tcW w:w="650" w:type="pct"/>
            <w:vMerge/>
            <w:vAlign w:val="center"/>
          </w:tcPr>
          <w:p w:rsidR="001D2DC5" w:rsidRPr="004E7A8C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Merge/>
            <w:vAlign w:val="center"/>
          </w:tcPr>
          <w:p w:rsidR="001D2DC5" w:rsidRPr="004E7A8C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" w:type="pct"/>
            <w:vAlign w:val="center"/>
          </w:tcPr>
          <w:p w:rsidR="001D2DC5" w:rsidRPr="004E7A8C" w:rsidRDefault="001D2DC5" w:rsidP="006B4E40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T</w:t>
            </w:r>
          </w:p>
        </w:tc>
        <w:tc>
          <w:tcPr>
            <w:tcW w:w="612" w:type="pct"/>
            <w:vAlign w:val="center"/>
          </w:tcPr>
          <w:p w:rsidR="001D2DC5" w:rsidRPr="004E7A8C" w:rsidRDefault="001D2DC5" w:rsidP="006B4E40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R</w:t>
            </w:r>
          </w:p>
        </w:tc>
        <w:tc>
          <w:tcPr>
            <w:tcW w:w="693" w:type="pct"/>
            <w:vAlign w:val="center"/>
          </w:tcPr>
          <w:p w:rsidR="001D2DC5" w:rsidRPr="004E7A8C" w:rsidRDefault="001D2DC5" w:rsidP="006B4E40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（</w:t>
            </w:r>
            <w:r w:rsidRPr="004E7A8C">
              <w:rPr>
                <w:sz w:val="24"/>
                <w:szCs w:val="24"/>
              </w:rPr>
              <w:t>T/R</w:t>
            </w:r>
            <w:r w:rsidRPr="004E7A8C">
              <w:rPr>
                <w:sz w:val="24"/>
                <w:szCs w:val="24"/>
              </w:rPr>
              <w:t>）</w:t>
            </w:r>
            <w:r w:rsidRPr="004E7A8C">
              <w:rPr>
                <w:sz w:val="24"/>
                <w:szCs w:val="24"/>
              </w:rPr>
              <w:t>%</w:t>
            </w:r>
          </w:p>
        </w:tc>
        <w:tc>
          <w:tcPr>
            <w:tcW w:w="1157" w:type="pct"/>
            <w:vMerge/>
            <w:vAlign w:val="center"/>
          </w:tcPr>
          <w:p w:rsidR="001D2DC5" w:rsidRPr="004E7A8C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4E7A8C" w:rsidRPr="004E7A8C" w:rsidTr="00BF7714">
        <w:trPr>
          <w:trHeight w:val="441"/>
          <w:jc w:val="center"/>
        </w:trPr>
        <w:tc>
          <w:tcPr>
            <w:tcW w:w="650" w:type="pct"/>
            <w:vMerge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AUC</w:t>
            </w:r>
            <w:r w:rsidRPr="004E7A8C">
              <w:rPr>
                <w:sz w:val="24"/>
                <w:szCs w:val="24"/>
                <w:vertAlign w:val="subscript"/>
              </w:rPr>
              <w:t>0-t</w:t>
            </w:r>
            <w:r w:rsidRPr="004E7A8C">
              <w:rPr>
                <w:sz w:val="24"/>
                <w:szCs w:val="24"/>
              </w:rPr>
              <w:t>（</w:t>
            </w:r>
            <w:proofErr w:type="spellStart"/>
            <w:r w:rsidRPr="004E7A8C">
              <w:rPr>
                <w:sz w:val="24"/>
                <w:szCs w:val="24"/>
              </w:rPr>
              <w:t>h·ng</w:t>
            </w:r>
            <w:proofErr w:type="spellEnd"/>
            <w:r w:rsidRPr="004E7A8C">
              <w:rPr>
                <w:sz w:val="24"/>
                <w:szCs w:val="24"/>
              </w:rPr>
              <w:t>/mL</w:t>
            </w:r>
            <w:r w:rsidRPr="004E7A8C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11.18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10.82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103.30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92.69%~115.14%</w:t>
            </w:r>
          </w:p>
        </w:tc>
      </w:tr>
      <w:tr w:rsidR="004E7A8C" w:rsidRPr="004E7A8C" w:rsidTr="00BF7714">
        <w:trPr>
          <w:trHeight w:val="405"/>
          <w:jc w:val="center"/>
        </w:trPr>
        <w:tc>
          <w:tcPr>
            <w:tcW w:w="650" w:type="pct"/>
            <w:vMerge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AUC</w:t>
            </w:r>
            <w:r w:rsidRPr="004E7A8C">
              <w:rPr>
                <w:sz w:val="24"/>
                <w:szCs w:val="24"/>
                <w:vertAlign w:val="subscript"/>
              </w:rPr>
              <w:t>0-∞</w:t>
            </w:r>
            <w:r w:rsidRPr="004E7A8C">
              <w:rPr>
                <w:sz w:val="24"/>
                <w:szCs w:val="24"/>
              </w:rPr>
              <w:t>（</w:t>
            </w:r>
            <w:proofErr w:type="spellStart"/>
            <w:r w:rsidRPr="004E7A8C">
              <w:rPr>
                <w:sz w:val="24"/>
                <w:szCs w:val="24"/>
              </w:rPr>
              <w:t>h·ng</w:t>
            </w:r>
            <w:proofErr w:type="spellEnd"/>
            <w:r w:rsidRPr="004E7A8C">
              <w:rPr>
                <w:sz w:val="24"/>
                <w:szCs w:val="24"/>
              </w:rPr>
              <w:t>/mL</w:t>
            </w:r>
            <w:r w:rsidRPr="004E7A8C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12.09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11.68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103.52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92.86%~115.40%</w:t>
            </w:r>
          </w:p>
        </w:tc>
      </w:tr>
      <w:tr w:rsidR="004E7A8C" w:rsidRPr="004E7A8C" w:rsidTr="00314A99">
        <w:trPr>
          <w:trHeight w:val="406"/>
          <w:jc w:val="center"/>
        </w:trPr>
        <w:tc>
          <w:tcPr>
            <w:tcW w:w="650" w:type="pct"/>
            <w:vMerge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proofErr w:type="spellStart"/>
            <w:r w:rsidRPr="004E7A8C">
              <w:rPr>
                <w:sz w:val="24"/>
                <w:szCs w:val="24"/>
              </w:rPr>
              <w:t>C</w:t>
            </w:r>
            <w:r w:rsidRPr="004E7A8C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4E7A8C">
              <w:rPr>
                <w:sz w:val="24"/>
                <w:szCs w:val="24"/>
              </w:rPr>
              <w:t>（</w:t>
            </w:r>
            <w:r w:rsidRPr="004E7A8C">
              <w:rPr>
                <w:sz w:val="24"/>
                <w:szCs w:val="24"/>
              </w:rPr>
              <w:t>ng/mL</w:t>
            </w:r>
            <w:r w:rsidRPr="004E7A8C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2.74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3.06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89.52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A8C" w:rsidRPr="004E7A8C" w:rsidRDefault="004E7A8C" w:rsidP="004E7A8C">
            <w:pPr>
              <w:widowControl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81.29%~98.57%</w:t>
            </w:r>
          </w:p>
        </w:tc>
      </w:tr>
      <w:tr w:rsidR="004E7A8C" w:rsidRPr="004E7A8C" w:rsidTr="00655744">
        <w:trPr>
          <w:trHeight w:val="405"/>
          <w:jc w:val="center"/>
        </w:trPr>
        <w:tc>
          <w:tcPr>
            <w:tcW w:w="650" w:type="pct"/>
            <w:vMerge w:val="restart"/>
            <w:vAlign w:val="center"/>
          </w:tcPr>
          <w:p w:rsidR="00655744" w:rsidRPr="004E7A8C" w:rsidRDefault="00655744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餐后</w:t>
            </w:r>
            <w:r w:rsidRPr="004E7A8C">
              <w:rPr>
                <w:sz w:val="24"/>
                <w:szCs w:val="24"/>
              </w:rPr>
              <w:t>BE</w:t>
            </w:r>
            <w:r w:rsidRPr="004E7A8C">
              <w:rPr>
                <w:sz w:val="24"/>
                <w:szCs w:val="24"/>
              </w:rPr>
              <w:t>（</w:t>
            </w:r>
            <w:r w:rsidRPr="004E7A8C">
              <w:rPr>
                <w:sz w:val="24"/>
                <w:szCs w:val="24"/>
              </w:rPr>
              <w:t>n=</w:t>
            </w:r>
            <w:r w:rsidR="004E7A8C" w:rsidRPr="004E7A8C">
              <w:rPr>
                <w:sz w:val="24"/>
                <w:szCs w:val="24"/>
              </w:rPr>
              <w:t>37</w:t>
            </w:r>
            <w:r w:rsidRPr="004E7A8C">
              <w:rPr>
                <w:sz w:val="24"/>
                <w:szCs w:val="24"/>
              </w:rPr>
              <w:t>）</w:t>
            </w:r>
          </w:p>
        </w:tc>
        <w:tc>
          <w:tcPr>
            <w:tcW w:w="1279" w:type="pct"/>
            <w:vMerge w:val="restart"/>
            <w:vAlign w:val="center"/>
          </w:tcPr>
          <w:p w:rsidR="00655744" w:rsidRPr="004E7A8C" w:rsidRDefault="00655744" w:rsidP="00655744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参数</w:t>
            </w:r>
          </w:p>
        </w:tc>
        <w:tc>
          <w:tcPr>
            <w:tcW w:w="1914" w:type="pct"/>
            <w:gridSpan w:val="3"/>
            <w:vAlign w:val="center"/>
          </w:tcPr>
          <w:p w:rsidR="00655744" w:rsidRPr="004E7A8C" w:rsidRDefault="00655744" w:rsidP="00655744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几何均值及比值</w:t>
            </w:r>
          </w:p>
        </w:tc>
        <w:tc>
          <w:tcPr>
            <w:tcW w:w="1157" w:type="pct"/>
            <w:vMerge w:val="restart"/>
            <w:vAlign w:val="center"/>
          </w:tcPr>
          <w:p w:rsidR="00655744" w:rsidRPr="004E7A8C" w:rsidRDefault="00655744" w:rsidP="00655744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90%CI</w:t>
            </w:r>
          </w:p>
        </w:tc>
      </w:tr>
      <w:tr w:rsidR="004E7A8C" w:rsidRPr="004E7A8C" w:rsidTr="00655744">
        <w:trPr>
          <w:trHeight w:val="405"/>
          <w:jc w:val="center"/>
        </w:trPr>
        <w:tc>
          <w:tcPr>
            <w:tcW w:w="650" w:type="pct"/>
            <w:vMerge/>
            <w:vAlign w:val="center"/>
          </w:tcPr>
          <w:p w:rsidR="00655744" w:rsidRPr="004E7A8C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Merge/>
            <w:vAlign w:val="center"/>
          </w:tcPr>
          <w:p w:rsidR="00655744" w:rsidRPr="004E7A8C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" w:type="pct"/>
            <w:vAlign w:val="center"/>
          </w:tcPr>
          <w:p w:rsidR="00655744" w:rsidRPr="004E7A8C" w:rsidRDefault="00655744" w:rsidP="00655744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T</w:t>
            </w:r>
          </w:p>
        </w:tc>
        <w:tc>
          <w:tcPr>
            <w:tcW w:w="612" w:type="pct"/>
            <w:vAlign w:val="center"/>
          </w:tcPr>
          <w:p w:rsidR="00655744" w:rsidRPr="004E7A8C" w:rsidRDefault="00655744" w:rsidP="00655744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R</w:t>
            </w:r>
          </w:p>
        </w:tc>
        <w:tc>
          <w:tcPr>
            <w:tcW w:w="693" w:type="pct"/>
            <w:vAlign w:val="center"/>
          </w:tcPr>
          <w:p w:rsidR="00655744" w:rsidRPr="004E7A8C" w:rsidRDefault="00655744" w:rsidP="00655744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（</w:t>
            </w:r>
            <w:r w:rsidRPr="004E7A8C">
              <w:rPr>
                <w:sz w:val="24"/>
                <w:szCs w:val="24"/>
              </w:rPr>
              <w:t>T/R</w:t>
            </w:r>
            <w:r w:rsidRPr="004E7A8C">
              <w:rPr>
                <w:sz w:val="24"/>
                <w:szCs w:val="24"/>
              </w:rPr>
              <w:t>）</w:t>
            </w:r>
            <w:r w:rsidRPr="004E7A8C">
              <w:rPr>
                <w:sz w:val="24"/>
                <w:szCs w:val="24"/>
              </w:rPr>
              <w:t>%</w:t>
            </w:r>
          </w:p>
        </w:tc>
        <w:tc>
          <w:tcPr>
            <w:tcW w:w="1157" w:type="pct"/>
            <w:vMerge/>
            <w:vAlign w:val="center"/>
          </w:tcPr>
          <w:p w:rsidR="00655744" w:rsidRPr="004E7A8C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</w:tr>
      <w:tr w:rsidR="004E7A8C" w:rsidRPr="004E7A8C" w:rsidTr="00CC0BFA">
        <w:trPr>
          <w:trHeight w:val="434"/>
          <w:jc w:val="center"/>
        </w:trPr>
        <w:tc>
          <w:tcPr>
            <w:tcW w:w="650" w:type="pct"/>
            <w:vMerge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AUC</w:t>
            </w:r>
            <w:r w:rsidRPr="004E7A8C">
              <w:rPr>
                <w:sz w:val="24"/>
                <w:szCs w:val="24"/>
                <w:vertAlign w:val="subscript"/>
              </w:rPr>
              <w:t>0-t</w:t>
            </w:r>
            <w:r w:rsidRPr="004E7A8C">
              <w:rPr>
                <w:sz w:val="24"/>
                <w:szCs w:val="24"/>
              </w:rPr>
              <w:t>（</w:t>
            </w:r>
            <w:proofErr w:type="spellStart"/>
            <w:r w:rsidRPr="004E7A8C">
              <w:rPr>
                <w:sz w:val="24"/>
                <w:szCs w:val="24"/>
              </w:rPr>
              <w:t>h·ng</w:t>
            </w:r>
            <w:proofErr w:type="spellEnd"/>
            <w:r w:rsidRPr="004E7A8C">
              <w:rPr>
                <w:sz w:val="24"/>
                <w:szCs w:val="24"/>
              </w:rPr>
              <w:t>/mL</w:t>
            </w:r>
            <w:r w:rsidRPr="004E7A8C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31.44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30.76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102.20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95.84%~108.98%</w:t>
            </w:r>
          </w:p>
        </w:tc>
      </w:tr>
      <w:tr w:rsidR="004E7A8C" w:rsidRPr="004E7A8C" w:rsidTr="00CC0BFA">
        <w:trPr>
          <w:trHeight w:val="464"/>
          <w:jc w:val="center"/>
        </w:trPr>
        <w:tc>
          <w:tcPr>
            <w:tcW w:w="650" w:type="pct"/>
            <w:vMerge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AUC</w:t>
            </w:r>
            <w:r w:rsidRPr="004E7A8C">
              <w:rPr>
                <w:sz w:val="24"/>
                <w:szCs w:val="24"/>
                <w:vertAlign w:val="subscript"/>
              </w:rPr>
              <w:t>0-∞</w:t>
            </w:r>
            <w:r w:rsidRPr="004E7A8C">
              <w:rPr>
                <w:sz w:val="24"/>
                <w:szCs w:val="24"/>
              </w:rPr>
              <w:t>（</w:t>
            </w:r>
            <w:proofErr w:type="spellStart"/>
            <w:r w:rsidRPr="004E7A8C">
              <w:rPr>
                <w:sz w:val="24"/>
                <w:szCs w:val="24"/>
              </w:rPr>
              <w:t>h·ng</w:t>
            </w:r>
            <w:proofErr w:type="spellEnd"/>
            <w:r w:rsidRPr="004E7A8C">
              <w:rPr>
                <w:sz w:val="24"/>
                <w:szCs w:val="24"/>
              </w:rPr>
              <w:t>/mL</w:t>
            </w:r>
            <w:r w:rsidRPr="004E7A8C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33.09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32.34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102.31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96.00%~109.04%</w:t>
            </w:r>
          </w:p>
        </w:tc>
      </w:tr>
      <w:tr w:rsidR="004E7A8C" w:rsidRPr="004E7A8C" w:rsidTr="00C57FC0">
        <w:trPr>
          <w:trHeight w:val="493"/>
          <w:jc w:val="center"/>
        </w:trPr>
        <w:tc>
          <w:tcPr>
            <w:tcW w:w="650" w:type="pct"/>
            <w:vMerge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4E7A8C" w:rsidRPr="004E7A8C" w:rsidRDefault="004E7A8C" w:rsidP="004E7A8C">
            <w:pPr>
              <w:jc w:val="center"/>
              <w:rPr>
                <w:sz w:val="24"/>
                <w:szCs w:val="24"/>
              </w:rPr>
            </w:pPr>
            <w:proofErr w:type="spellStart"/>
            <w:r w:rsidRPr="004E7A8C">
              <w:rPr>
                <w:sz w:val="24"/>
                <w:szCs w:val="24"/>
              </w:rPr>
              <w:t>C</w:t>
            </w:r>
            <w:r w:rsidRPr="004E7A8C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4E7A8C">
              <w:rPr>
                <w:sz w:val="24"/>
                <w:szCs w:val="24"/>
              </w:rPr>
              <w:t>（</w:t>
            </w:r>
            <w:r w:rsidRPr="004E7A8C">
              <w:rPr>
                <w:sz w:val="24"/>
                <w:szCs w:val="24"/>
              </w:rPr>
              <w:t>ng/mL</w:t>
            </w:r>
            <w:r w:rsidRPr="004E7A8C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7.06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6.58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A8C" w:rsidRPr="004E7A8C" w:rsidRDefault="004E7A8C" w:rsidP="004E7A8C">
            <w:pPr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107.27</w:t>
            </w:r>
          </w:p>
        </w:tc>
        <w:tc>
          <w:tcPr>
            <w:tcW w:w="1157" w:type="pct"/>
            <w:vAlign w:val="center"/>
          </w:tcPr>
          <w:p w:rsidR="004E7A8C" w:rsidRPr="004E7A8C" w:rsidRDefault="004E7A8C" w:rsidP="004E7A8C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4E7A8C">
              <w:rPr>
                <w:sz w:val="24"/>
                <w:szCs w:val="24"/>
              </w:rPr>
              <w:t>98.08%~117.32%</w:t>
            </w:r>
          </w:p>
        </w:tc>
      </w:tr>
    </w:tbl>
    <w:p w:rsidR="001D2DC5" w:rsidRPr="004E7A8C" w:rsidRDefault="001D2DC5" w:rsidP="006B4E40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7A8C">
        <w:rPr>
          <w:rFonts w:ascii="Times New Roman" w:eastAsia="黑体" w:hAnsi="Times New Roman" w:cs="Times New Roman"/>
          <w:sz w:val="24"/>
          <w:szCs w:val="24"/>
        </w:rPr>
        <w:t>3.</w:t>
      </w:r>
      <w:r w:rsidRPr="004E7A8C">
        <w:rPr>
          <w:rFonts w:ascii="Times New Roman" w:eastAsia="黑体" w:hAnsi="Times New Roman" w:cs="Times New Roman" w:hint="eastAsia"/>
          <w:sz w:val="24"/>
          <w:szCs w:val="24"/>
        </w:rPr>
        <w:t>审评结论</w:t>
      </w:r>
      <w:bookmarkStart w:id="0" w:name="_GoBack"/>
      <w:bookmarkEnd w:id="0"/>
    </w:p>
    <w:p w:rsidR="001D2DC5" w:rsidRPr="004E7A8C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7A8C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4E7A8C" w:rsidRPr="004E7A8C">
        <w:rPr>
          <w:rFonts w:ascii="Times New Roman" w:eastAsia="宋体" w:hAnsi="Times New Roman" w:cs="Times New Roman" w:hint="eastAsia"/>
          <w:sz w:val="24"/>
          <w:szCs w:val="24"/>
        </w:rPr>
        <w:t>许昌恒生制药有限公司</w:t>
      </w:r>
      <w:r w:rsidRPr="004E7A8C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proofErr w:type="gramStart"/>
      <w:r w:rsidR="004E7A8C" w:rsidRPr="004E7A8C">
        <w:rPr>
          <w:rFonts w:ascii="Times New Roman" w:eastAsia="宋体" w:hAnsi="Times New Roman" w:cs="Times New Roman" w:hint="eastAsia"/>
          <w:sz w:val="24"/>
          <w:szCs w:val="24"/>
        </w:rPr>
        <w:t>盐酸马</w:t>
      </w:r>
      <w:proofErr w:type="gramEnd"/>
      <w:r w:rsidR="004E7A8C" w:rsidRPr="004E7A8C">
        <w:rPr>
          <w:rFonts w:ascii="Times New Roman" w:eastAsia="宋体" w:hAnsi="Times New Roman" w:cs="Times New Roman" w:hint="eastAsia"/>
          <w:sz w:val="24"/>
          <w:szCs w:val="24"/>
        </w:rPr>
        <w:t>尼地平片</w:t>
      </w:r>
      <w:r w:rsidRPr="004E7A8C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4E7A8C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1A7E3A" w:rsidRPr="004E7A8C" w:rsidRDefault="001A7E3A">
      <w:pPr>
        <w:rPr>
          <w:color w:val="FF0000"/>
        </w:rPr>
      </w:pPr>
    </w:p>
    <w:sectPr w:rsidR="001A7E3A" w:rsidRPr="004E7A8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9E8" w:rsidRDefault="007C59E8" w:rsidP="001D2DC5">
      <w:r>
        <w:separator/>
      </w:r>
    </w:p>
  </w:endnote>
  <w:endnote w:type="continuationSeparator" w:id="0">
    <w:p w:rsidR="007C59E8" w:rsidRDefault="007C59E8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7A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7A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9E8" w:rsidRDefault="007C59E8" w:rsidP="001D2DC5">
      <w:r>
        <w:separator/>
      </w:r>
    </w:p>
  </w:footnote>
  <w:footnote w:type="continuationSeparator" w:id="0">
    <w:p w:rsidR="007C59E8" w:rsidRDefault="007C59E8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404A0"/>
    <w:rsid w:val="00087A3C"/>
    <w:rsid w:val="000D01A2"/>
    <w:rsid w:val="000F5606"/>
    <w:rsid w:val="001524F4"/>
    <w:rsid w:val="001669A3"/>
    <w:rsid w:val="001737F8"/>
    <w:rsid w:val="001A7E3A"/>
    <w:rsid w:val="001C2A15"/>
    <w:rsid w:val="001C2A42"/>
    <w:rsid w:val="001D2DC5"/>
    <w:rsid w:val="001F2B5B"/>
    <w:rsid w:val="0021389E"/>
    <w:rsid w:val="00216F8D"/>
    <w:rsid w:val="00246F34"/>
    <w:rsid w:val="002519B9"/>
    <w:rsid w:val="00255676"/>
    <w:rsid w:val="00276F00"/>
    <w:rsid w:val="00283E13"/>
    <w:rsid w:val="002A3F02"/>
    <w:rsid w:val="003362B9"/>
    <w:rsid w:val="00344775"/>
    <w:rsid w:val="003564CE"/>
    <w:rsid w:val="00361774"/>
    <w:rsid w:val="003716B8"/>
    <w:rsid w:val="003735CE"/>
    <w:rsid w:val="003847FE"/>
    <w:rsid w:val="003A57A3"/>
    <w:rsid w:val="003B7B87"/>
    <w:rsid w:val="003F76F3"/>
    <w:rsid w:val="0041110A"/>
    <w:rsid w:val="004251EA"/>
    <w:rsid w:val="00430A88"/>
    <w:rsid w:val="0043776B"/>
    <w:rsid w:val="00466046"/>
    <w:rsid w:val="0046784F"/>
    <w:rsid w:val="00470EB2"/>
    <w:rsid w:val="00485719"/>
    <w:rsid w:val="00490E7C"/>
    <w:rsid w:val="004A332F"/>
    <w:rsid w:val="004A3F70"/>
    <w:rsid w:val="004B2BE6"/>
    <w:rsid w:val="004C0B8D"/>
    <w:rsid w:val="004C436C"/>
    <w:rsid w:val="004E6D42"/>
    <w:rsid w:val="004E7A8C"/>
    <w:rsid w:val="004F1C3E"/>
    <w:rsid w:val="004F66A5"/>
    <w:rsid w:val="00500560"/>
    <w:rsid w:val="00512BE9"/>
    <w:rsid w:val="005130D5"/>
    <w:rsid w:val="005265A0"/>
    <w:rsid w:val="00537264"/>
    <w:rsid w:val="00544098"/>
    <w:rsid w:val="00564948"/>
    <w:rsid w:val="0058485A"/>
    <w:rsid w:val="005C22A6"/>
    <w:rsid w:val="005E2F06"/>
    <w:rsid w:val="0060124C"/>
    <w:rsid w:val="00634F26"/>
    <w:rsid w:val="00645FAD"/>
    <w:rsid w:val="00653EF4"/>
    <w:rsid w:val="00655744"/>
    <w:rsid w:val="0066787F"/>
    <w:rsid w:val="00674D74"/>
    <w:rsid w:val="0068370A"/>
    <w:rsid w:val="00693B7C"/>
    <w:rsid w:val="00694247"/>
    <w:rsid w:val="006969B2"/>
    <w:rsid w:val="0069752D"/>
    <w:rsid w:val="006A25AD"/>
    <w:rsid w:val="006B4E40"/>
    <w:rsid w:val="006C057B"/>
    <w:rsid w:val="006C0771"/>
    <w:rsid w:val="006F0C3B"/>
    <w:rsid w:val="00702BA0"/>
    <w:rsid w:val="00702C30"/>
    <w:rsid w:val="00712FA9"/>
    <w:rsid w:val="00716523"/>
    <w:rsid w:val="00734516"/>
    <w:rsid w:val="00735146"/>
    <w:rsid w:val="00753EA6"/>
    <w:rsid w:val="007631AE"/>
    <w:rsid w:val="007A4A4F"/>
    <w:rsid w:val="007B0896"/>
    <w:rsid w:val="007C59E8"/>
    <w:rsid w:val="007D31CF"/>
    <w:rsid w:val="007E2FFC"/>
    <w:rsid w:val="007F4024"/>
    <w:rsid w:val="008024FA"/>
    <w:rsid w:val="0082237B"/>
    <w:rsid w:val="00833F16"/>
    <w:rsid w:val="00834A8F"/>
    <w:rsid w:val="0083784A"/>
    <w:rsid w:val="00856ED4"/>
    <w:rsid w:val="00861D58"/>
    <w:rsid w:val="00872CB4"/>
    <w:rsid w:val="008A01AC"/>
    <w:rsid w:val="008A553A"/>
    <w:rsid w:val="008A71CD"/>
    <w:rsid w:val="008E08C4"/>
    <w:rsid w:val="008E48D8"/>
    <w:rsid w:val="00911D7F"/>
    <w:rsid w:val="00912877"/>
    <w:rsid w:val="0094298D"/>
    <w:rsid w:val="009601CA"/>
    <w:rsid w:val="00971672"/>
    <w:rsid w:val="009C7321"/>
    <w:rsid w:val="00A0018B"/>
    <w:rsid w:val="00A47F2E"/>
    <w:rsid w:val="00A60B13"/>
    <w:rsid w:val="00AA58EF"/>
    <w:rsid w:val="00AB629B"/>
    <w:rsid w:val="00AB7566"/>
    <w:rsid w:val="00AC14A2"/>
    <w:rsid w:val="00AC2F14"/>
    <w:rsid w:val="00AE4105"/>
    <w:rsid w:val="00AF242B"/>
    <w:rsid w:val="00AF3C83"/>
    <w:rsid w:val="00B07F8D"/>
    <w:rsid w:val="00B142F1"/>
    <w:rsid w:val="00B35FEE"/>
    <w:rsid w:val="00B6215F"/>
    <w:rsid w:val="00B8166C"/>
    <w:rsid w:val="00B85D92"/>
    <w:rsid w:val="00B96D43"/>
    <w:rsid w:val="00B96DE8"/>
    <w:rsid w:val="00BA0651"/>
    <w:rsid w:val="00BA13B2"/>
    <w:rsid w:val="00BB6B6B"/>
    <w:rsid w:val="00C25F17"/>
    <w:rsid w:val="00C32AE4"/>
    <w:rsid w:val="00C345FE"/>
    <w:rsid w:val="00C55F88"/>
    <w:rsid w:val="00C724F8"/>
    <w:rsid w:val="00C75DA6"/>
    <w:rsid w:val="00C76D9D"/>
    <w:rsid w:val="00CA2913"/>
    <w:rsid w:val="00CB45F2"/>
    <w:rsid w:val="00CB4993"/>
    <w:rsid w:val="00CB70D9"/>
    <w:rsid w:val="00CC18BD"/>
    <w:rsid w:val="00CE37F3"/>
    <w:rsid w:val="00CF2031"/>
    <w:rsid w:val="00D12291"/>
    <w:rsid w:val="00D273F6"/>
    <w:rsid w:val="00D346CD"/>
    <w:rsid w:val="00D40C0A"/>
    <w:rsid w:val="00D40CC2"/>
    <w:rsid w:val="00D5238F"/>
    <w:rsid w:val="00D52407"/>
    <w:rsid w:val="00D54123"/>
    <w:rsid w:val="00D63F3A"/>
    <w:rsid w:val="00D7760C"/>
    <w:rsid w:val="00D82315"/>
    <w:rsid w:val="00D84AD6"/>
    <w:rsid w:val="00DA4815"/>
    <w:rsid w:val="00DC72F5"/>
    <w:rsid w:val="00DD447E"/>
    <w:rsid w:val="00DF69F2"/>
    <w:rsid w:val="00E167BA"/>
    <w:rsid w:val="00E204B9"/>
    <w:rsid w:val="00E24039"/>
    <w:rsid w:val="00E24C1E"/>
    <w:rsid w:val="00E405A8"/>
    <w:rsid w:val="00E57FDF"/>
    <w:rsid w:val="00E62B72"/>
    <w:rsid w:val="00E6792F"/>
    <w:rsid w:val="00E763FA"/>
    <w:rsid w:val="00EA6980"/>
    <w:rsid w:val="00EC731E"/>
    <w:rsid w:val="00F50F17"/>
    <w:rsid w:val="00F74604"/>
    <w:rsid w:val="00F767C9"/>
    <w:rsid w:val="00F82B4D"/>
    <w:rsid w:val="00F85920"/>
    <w:rsid w:val="00F956E1"/>
    <w:rsid w:val="00F9798B"/>
    <w:rsid w:val="00FA3CE4"/>
    <w:rsid w:val="00FB26DC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D632F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刘霏霏</cp:lastModifiedBy>
  <cp:revision>28</cp:revision>
  <dcterms:created xsi:type="dcterms:W3CDTF">2018-07-30T06:44:00Z</dcterms:created>
  <dcterms:modified xsi:type="dcterms:W3CDTF">2022-07-15T03:26:00Z</dcterms:modified>
</cp:coreProperties>
</file>