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655744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55744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55744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655744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t>1.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655744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地高辛片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Digoxin Tablets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AC629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片剂：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0.25mg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735146" w:rsidRDefault="00655744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</w:t>
            </w:r>
            <w:proofErr w:type="gramStart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倍特得</w:t>
            </w:r>
            <w:proofErr w:type="gramEnd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诺药业有限公司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735146" w:rsidRDefault="00655744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成都市温江区成都海峡两岸科技产业开发园区科林路西段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735146" w:rsidRDefault="00735146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成都倍特药业股份有限公司</w:t>
            </w:r>
          </w:p>
        </w:tc>
      </w:tr>
      <w:tr w:rsidR="00655744" w:rsidRPr="00655744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55744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H51021112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655744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="001D2DC5"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55744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1D2DC5"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200201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735146" w:rsidRDefault="00735146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</w:t>
            </w:r>
            <w:proofErr w:type="gramStart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倍特得</w:t>
            </w:r>
            <w:proofErr w:type="gramEnd"/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诺药业有限公司</w:t>
            </w:r>
          </w:p>
        </w:tc>
      </w:tr>
      <w:tr w:rsidR="00655744" w:rsidRPr="00655744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735146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735146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3514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655744" w:rsidRPr="00655744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65574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55744" w:rsidRPr="00655744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B202000140-02</w:t>
            </w:r>
          </w:p>
        </w:tc>
      </w:tr>
      <w:tr w:rsidR="00655744" w:rsidRPr="00655744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中南大学湘雅医院</w:t>
            </w:r>
          </w:p>
        </w:tc>
      </w:tr>
      <w:tr w:rsidR="00655744" w:rsidRPr="00655744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655744" w:rsidRPr="00655744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655744" w:rsidRPr="00655744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430A8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单剂量、空腹和餐后、随机、开放、两制剂、四周期、完全重复交叉生物等效性</w:t>
            </w:r>
            <w:r w:rsidR="001D2DC5"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  <w:tr w:rsidR="00655744" w:rsidRPr="00655744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655744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血浆中地高辛浓度</w:t>
            </w:r>
          </w:p>
        </w:tc>
      </w:tr>
      <w:tr w:rsidR="00655744" w:rsidRPr="00655744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655744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UP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55744" w:rsidRPr="00655744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655744" w:rsidRDefault="001D2DC5" w:rsidP="0065574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557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55744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051" w:type="dxa"/>
            <w:vAlign w:val="center"/>
          </w:tcPr>
          <w:p w:rsidR="001D2DC5" w:rsidRPr="00655744" w:rsidRDefault="00AC6298" w:rsidP="0065574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</w:tbl>
    <w:p w:rsidR="001D2DC5" w:rsidRPr="00655744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lastRenderedPageBreak/>
        <w:t>2.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F956E1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F956E1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956E1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地高辛片</w:t>
      </w:r>
      <w:r w:rsidRPr="00F956E1">
        <w:rPr>
          <w:rFonts w:ascii="Times New Roman" w:eastAsia="宋体" w:hAnsi="Times New Roman" w:cs="Times New Roman"/>
          <w:sz w:val="24"/>
          <w:szCs w:val="24"/>
        </w:rPr>
        <w:t>（</w:t>
      </w:r>
      <w:r w:rsidR="00655744" w:rsidRPr="00F956E1">
        <w:rPr>
          <w:rFonts w:ascii="Times New Roman" w:eastAsia="宋体" w:hAnsi="Times New Roman" w:cs="Times New Roman"/>
          <w:sz w:val="24"/>
          <w:szCs w:val="24"/>
        </w:rPr>
        <w:t>0.25mg</w:t>
      </w:r>
      <w:r w:rsidRPr="00F956E1">
        <w:rPr>
          <w:rFonts w:ascii="Times New Roman" w:eastAsia="宋体" w:hAnsi="Times New Roman" w:cs="Times New Roman"/>
          <w:sz w:val="24"/>
          <w:szCs w:val="24"/>
        </w:rPr>
        <w:t>）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地高</w:t>
      </w:r>
      <w:proofErr w:type="gramStart"/>
      <w:r w:rsidR="00655744" w:rsidRPr="00F956E1">
        <w:rPr>
          <w:rFonts w:ascii="Times New Roman" w:eastAsia="宋体" w:hAnsi="Times New Roman" w:cs="Times New Roman" w:hint="eastAsia"/>
          <w:sz w:val="24"/>
          <w:szCs w:val="24"/>
        </w:rPr>
        <w:t>辛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F956E1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F956E1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F956E1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9170" w:type="dxa"/>
        <w:jc w:val="center"/>
        <w:tblLook w:val="04A0" w:firstRow="1" w:lastRow="0" w:firstColumn="1" w:lastColumn="0" w:noHBand="0" w:noVBand="1"/>
      </w:tblPr>
      <w:tblGrid>
        <w:gridCol w:w="1192"/>
        <w:gridCol w:w="2346"/>
        <w:gridCol w:w="1117"/>
        <w:gridCol w:w="1122"/>
        <w:gridCol w:w="1271"/>
        <w:gridCol w:w="2122"/>
      </w:tblGrid>
      <w:tr w:rsidR="00F956E1" w:rsidRPr="00F956E1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空腹</w:t>
            </w:r>
            <w:r w:rsidRPr="00F956E1">
              <w:rPr>
                <w:sz w:val="24"/>
                <w:szCs w:val="24"/>
              </w:rPr>
              <w:t>BE</w:t>
            </w:r>
          </w:p>
          <w:p w:rsidR="001D2DC5" w:rsidRPr="00F956E1" w:rsidRDefault="001D2DC5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n=</w:t>
            </w:r>
            <w:r w:rsidR="00655744" w:rsidRPr="00F956E1">
              <w:rPr>
                <w:sz w:val="24"/>
                <w:szCs w:val="24"/>
              </w:rPr>
              <w:t>40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90%CI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T/R</w:t>
            </w:r>
            <w:r w:rsidRPr="00F956E1">
              <w:rPr>
                <w:sz w:val="24"/>
                <w:szCs w:val="24"/>
              </w:rPr>
              <w:t>）</w:t>
            </w:r>
            <w:r w:rsidRPr="00F956E1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1D2DC5" w:rsidRPr="00F956E1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F956E1" w:rsidRPr="00F956E1" w:rsidTr="00655744">
        <w:trPr>
          <w:trHeight w:val="441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0-t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14.4204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14.5742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98.94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94.73-103.35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0-∞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18.2726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18.0764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101.09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97.43-104.88</w:t>
            </w:r>
          </w:p>
        </w:tc>
      </w:tr>
      <w:tr w:rsidR="00F956E1" w:rsidRPr="00F956E1" w:rsidTr="00152D52">
        <w:trPr>
          <w:trHeight w:val="406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proofErr w:type="spellStart"/>
            <w:r w:rsidRPr="00F956E1">
              <w:rPr>
                <w:sz w:val="24"/>
                <w:szCs w:val="24"/>
              </w:rPr>
              <w:t>C</w:t>
            </w:r>
            <w:r w:rsidRPr="00F956E1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ng/mL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1.7309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1.7076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956E1">
              <w:rPr>
                <w:rFonts w:ascii="Calibri" w:eastAsia="等线" w:hAnsi="Calibri"/>
                <w:kern w:val="2"/>
                <w:sz w:val="24"/>
                <w:szCs w:val="24"/>
              </w:rPr>
              <w:t>101.37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744" w:rsidRPr="00F956E1" w:rsidRDefault="00655744" w:rsidP="00655744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95.33-107.78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餐后</w:t>
            </w:r>
            <w:r w:rsidRPr="00F956E1">
              <w:rPr>
                <w:sz w:val="24"/>
                <w:szCs w:val="24"/>
              </w:rPr>
              <w:t>BE</w:t>
            </w: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n=40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1279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参数</w:t>
            </w:r>
          </w:p>
        </w:tc>
        <w:tc>
          <w:tcPr>
            <w:tcW w:w="1914" w:type="pct"/>
            <w:gridSpan w:val="3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几何均值及比值</w:t>
            </w:r>
          </w:p>
        </w:tc>
        <w:tc>
          <w:tcPr>
            <w:tcW w:w="1157" w:type="pct"/>
            <w:vMerge w:val="restar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90%CI</w:t>
            </w:r>
          </w:p>
        </w:tc>
      </w:tr>
      <w:tr w:rsidR="00F956E1" w:rsidRPr="00F956E1" w:rsidTr="00655744">
        <w:trPr>
          <w:trHeight w:val="405"/>
          <w:jc w:val="center"/>
        </w:trPr>
        <w:tc>
          <w:tcPr>
            <w:tcW w:w="650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T</w:t>
            </w:r>
          </w:p>
        </w:tc>
        <w:tc>
          <w:tcPr>
            <w:tcW w:w="612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R</w:t>
            </w:r>
          </w:p>
        </w:tc>
        <w:tc>
          <w:tcPr>
            <w:tcW w:w="693" w:type="pct"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T/R</w:t>
            </w:r>
            <w:r w:rsidRPr="00F956E1">
              <w:rPr>
                <w:sz w:val="24"/>
                <w:szCs w:val="24"/>
              </w:rPr>
              <w:t>）</w:t>
            </w:r>
            <w:r w:rsidRPr="00F956E1">
              <w:rPr>
                <w:sz w:val="24"/>
                <w:szCs w:val="24"/>
              </w:rPr>
              <w:t>%</w:t>
            </w:r>
          </w:p>
        </w:tc>
        <w:tc>
          <w:tcPr>
            <w:tcW w:w="1157" w:type="pct"/>
            <w:vMerge/>
            <w:vAlign w:val="center"/>
          </w:tcPr>
          <w:p w:rsidR="00655744" w:rsidRPr="00F956E1" w:rsidRDefault="00655744" w:rsidP="00655744">
            <w:pPr>
              <w:jc w:val="center"/>
              <w:rPr>
                <w:sz w:val="24"/>
                <w:szCs w:val="24"/>
              </w:rPr>
            </w:pPr>
          </w:p>
        </w:tc>
      </w:tr>
      <w:tr w:rsidR="00F956E1" w:rsidRPr="00F956E1" w:rsidTr="00655744">
        <w:trPr>
          <w:trHeight w:val="434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0-t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14.7307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14.3019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103.00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100.32-105.74</w:t>
            </w:r>
          </w:p>
        </w:tc>
      </w:tr>
      <w:tr w:rsidR="00F956E1" w:rsidRPr="00F956E1" w:rsidTr="00655744">
        <w:trPr>
          <w:trHeight w:val="464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AUC</w:t>
            </w:r>
            <w:r w:rsidRPr="00F956E1">
              <w:rPr>
                <w:sz w:val="24"/>
                <w:szCs w:val="24"/>
                <w:vertAlign w:val="subscript"/>
              </w:rPr>
              <w:t>0-∞</w:t>
            </w:r>
            <w:r w:rsidRPr="00F956E1">
              <w:rPr>
                <w:sz w:val="24"/>
                <w:szCs w:val="24"/>
              </w:rPr>
              <w:t>（</w:t>
            </w:r>
            <w:proofErr w:type="spellStart"/>
            <w:r w:rsidRPr="00F956E1">
              <w:rPr>
                <w:sz w:val="24"/>
                <w:szCs w:val="24"/>
              </w:rPr>
              <w:t>h·ng</w:t>
            </w:r>
            <w:proofErr w:type="spellEnd"/>
            <w:r w:rsidRPr="00F956E1">
              <w:rPr>
                <w:sz w:val="24"/>
                <w:szCs w:val="24"/>
              </w:rPr>
              <w:t>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18.0794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17.7720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101.73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99.46-104.05</w:t>
            </w:r>
          </w:p>
        </w:tc>
      </w:tr>
      <w:tr w:rsidR="00F956E1" w:rsidRPr="00F956E1" w:rsidTr="00655744">
        <w:trPr>
          <w:trHeight w:val="493"/>
          <w:jc w:val="center"/>
        </w:trPr>
        <w:tc>
          <w:tcPr>
            <w:tcW w:w="650" w:type="pct"/>
            <w:vMerge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9" w:type="pct"/>
            <w:vAlign w:val="center"/>
          </w:tcPr>
          <w:p w:rsidR="00F956E1" w:rsidRPr="00F956E1" w:rsidRDefault="00F956E1" w:rsidP="00F956E1">
            <w:pPr>
              <w:jc w:val="center"/>
              <w:rPr>
                <w:sz w:val="24"/>
                <w:szCs w:val="24"/>
              </w:rPr>
            </w:pPr>
            <w:proofErr w:type="spellStart"/>
            <w:r w:rsidRPr="00F956E1">
              <w:rPr>
                <w:sz w:val="24"/>
                <w:szCs w:val="24"/>
              </w:rPr>
              <w:t>C</w:t>
            </w:r>
            <w:r w:rsidRPr="00F956E1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F956E1">
              <w:rPr>
                <w:sz w:val="24"/>
                <w:szCs w:val="24"/>
              </w:rPr>
              <w:t>（</w:t>
            </w:r>
            <w:r w:rsidRPr="00F956E1">
              <w:rPr>
                <w:sz w:val="24"/>
                <w:szCs w:val="24"/>
              </w:rPr>
              <w:t>ng/mL</w:t>
            </w:r>
            <w:r w:rsidRPr="00F956E1">
              <w:rPr>
                <w:sz w:val="24"/>
                <w:szCs w:val="24"/>
              </w:rPr>
              <w:t>）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1.5290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1.3124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E1" w:rsidRPr="00F956E1" w:rsidRDefault="00F956E1" w:rsidP="00F956E1">
            <w:pPr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116.51</w:t>
            </w:r>
          </w:p>
        </w:tc>
        <w:tc>
          <w:tcPr>
            <w:tcW w:w="1157" w:type="pct"/>
            <w:vAlign w:val="center"/>
          </w:tcPr>
          <w:p w:rsidR="00F956E1" w:rsidRPr="00F956E1" w:rsidRDefault="00F956E1" w:rsidP="00F956E1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956E1">
              <w:rPr>
                <w:sz w:val="24"/>
                <w:szCs w:val="24"/>
              </w:rPr>
              <w:t>108.95-124.59</w:t>
            </w:r>
          </w:p>
        </w:tc>
      </w:tr>
    </w:tbl>
    <w:p w:rsidR="001D2DC5" w:rsidRPr="00655744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55744">
        <w:rPr>
          <w:rFonts w:ascii="Times New Roman" w:eastAsia="黑体" w:hAnsi="Times New Roman" w:cs="Times New Roman"/>
          <w:sz w:val="24"/>
          <w:szCs w:val="24"/>
        </w:rPr>
        <w:t>3.</w:t>
      </w:r>
      <w:r w:rsidRPr="00655744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735146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5146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成都</w:t>
      </w:r>
      <w:proofErr w:type="gramStart"/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倍特得</w:t>
      </w:r>
      <w:proofErr w:type="gramEnd"/>
      <w:r w:rsidR="00735146" w:rsidRPr="00735146">
        <w:rPr>
          <w:rFonts w:ascii="Times New Roman" w:eastAsia="宋体" w:hAnsi="Times New Roman" w:cs="Times New Roman" w:hint="eastAsia"/>
          <w:sz w:val="24"/>
          <w:szCs w:val="24"/>
        </w:rPr>
        <w:t>诺药业有限公司</w:t>
      </w:r>
      <w:r w:rsidRPr="00735146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655744" w:rsidRPr="00735146">
        <w:rPr>
          <w:rFonts w:ascii="Times New Roman" w:eastAsia="宋体" w:hAnsi="Times New Roman" w:cs="Times New Roman" w:hint="eastAsia"/>
          <w:sz w:val="24"/>
          <w:szCs w:val="24"/>
        </w:rPr>
        <w:t>地高辛片</w:t>
      </w:r>
      <w:r w:rsidRPr="00735146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655744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</w:p>
    <w:p w:rsidR="001A7E3A" w:rsidRPr="00655744" w:rsidRDefault="001A7E3A">
      <w:pPr>
        <w:rPr>
          <w:color w:val="0000FF"/>
        </w:rPr>
      </w:pPr>
    </w:p>
    <w:sectPr w:rsidR="001A7E3A" w:rsidRPr="0065574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649" w:rsidRDefault="00294649" w:rsidP="001D2DC5">
      <w:r>
        <w:separator/>
      </w:r>
    </w:p>
  </w:endnote>
  <w:endnote w:type="continuationSeparator" w:id="0">
    <w:p w:rsidR="00294649" w:rsidRDefault="00294649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62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62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649" w:rsidRDefault="00294649" w:rsidP="001D2DC5">
      <w:r>
        <w:separator/>
      </w:r>
    </w:p>
  </w:footnote>
  <w:footnote w:type="continuationSeparator" w:id="0">
    <w:p w:rsidR="00294649" w:rsidRDefault="00294649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389E"/>
    <w:rsid w:val="00216F8D"/>
    <w:rsid w:val="00246F34"/>
    <w:rsid w:val="002519B9"/>
    <w:rsid w:val="00255676"/>
    <w:rsid w:val="00276F00"/>
    <w:rsid w:val="00283E13"/>
    <w:rsid w:val="00294649"/>
    <w:rsid w:val="002A3F02"/>
    <w:rsid w:val="003362B9"/>
    <w:rsid w:val="00344775"/>
    <w:rsid w:val="003564CE"/>
    <w:rsid w:val="00361774"/>
    <w:rsid w:val="003716B8"/>
    <w:rsid w:val="003735CE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85719"/>
    <w:rsid w:val="00490E7C"/>
    <w:rsid w:val="004A332F"/>
    <w:rsid w:val="004A3F70"/>
    <w:rsid w:val="004B2BE6"/>
    <w:rsid w:val="004C0B8D"/>
    <w:rsid w:val="004C436C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E2F06"/>
    <w:rsid w:val="0060124C"/>
    <w:rsid w:val="00634F26"/>
    <w:rsid w:val="00645FAD"/>
    <w:rsid w:val="00653EF4"/>
    <w:rsid w:val="0065574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34516"/>
    <w:rsid w:val="00735146"/>
    <w:rsid w:val="00753EA6"/>
    <w:rsid w:val="007631AE"/>
    <w:rsid w:val="007A4A4F"/>
    <w:rsid w:val="007B0896"/>
    <w:rsid w:val="007D31CF"/>
    <w:rsid w:val="007E2FFC"/>
    <w:rsid w:val="007F4024"/>
    <w:rsid w:val="008024FA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A0018B"/>
    <w:rsid w:val="00A47F2E"/>
    <w:rsid w:val="00A60B13"/>
    <w:rsid w:val="00AA58EF"/>
    <w:rsid w:val="00AB629B"/>
    <w:rsid w:val="00AB7566"/>
    <w:rsid w:val="00AC14A2"/>
    <w:rsid w:val="00AC2F14"/>
    <w:rsid w:val="00AC6298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56E1"/>
    <w:rsid w:val="00F9798B"/>
    <w:rsid w:val="00FA3CE4"/>
    <w:rsid w:val="00FB26DC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A4AED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宋晓</cp:lastModifiedBy>
  <cp:revision>28</cp:revision>
  <dcterms:created xsi:type="dcterms:W3CDTF">2018-07-30T06:44:00Z</dcterms:created>
  <dcterms:modified xsi:type="dcterms:W3CDTF">2022-07-20T07:23:00Z</dcterms:modified>
</cp:coreProperties>
</file>