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bookmarkStart w:id="0" w:name="_GoBack"/>
      <w:bookmarkEnd w:id="0"/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1006D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D3">
              <w:rPr>
                <w:rFonts w:ascii="Times New Roman" w:hAnsi="Times New Roman" w:cs="Times New Roman" w:hint="eastAsia"/>
                <w:sz w:val="24"/>
                <w:szCs w:val="24"/>
              </w:rPr>
              <w:t>盐酸二甲双胍缓释片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1006D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D3">
              <w:rPr>
                <w:rFonts w:ascii="Times New Roman" w:hAnsi="Times New Roman" w:cs="Times New Roman"/>
                <w:sz w:val="24"/>
                <w:szCs w:val="24"/>
              </w:rPr>
              <w:t>Metformin Hydrochloride Sustained-release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9A020C" w:rsidP="001006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4A3089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1006D3" w:rsidRPr="001006D3">
              <w:rPr>
                <w:rFonts w:ascii="Times New Roman" w:hAnsi="Times New Roman" w:cs="Times New Roman"/>
                <w:sz w:val="24"/>
                <w:szCs w:val="24"/>
              </w:rPr>
              <w:t>0.5g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1006D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D3">
              <w:rPr>
                <w:rFonts w:ascii="Times New Roman" w:hAnsi="Times New Roman" w:cs="Times New Roman" w:hint="eastAsia"/>
                <w:sz w:val="24"/>
                <w:szCs w:val="24"/>
              </w:rPr>
              <w:t>江苏祥瑞药业有限公司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1006D3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006D3">
              <w:rPr>
                <w:rFonts w:ascii="Times New Roman" w:hAnsi="Times New Roman" w:cs="Times New Roman" w:hint="eastAsia"/>
                <w:sz w:val="24"/>
                <w:szCs w:val="24"/>
              </w:rPr>
              <w:t>盐城市响水县城西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1006D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D3">
              <w:rPr>
                <w:rFonts w:ascii="Times New Roman" w:hAnsi="Times New Roman" w:cs="Times New Roman" w:hint="eastAsia"/>
                <w:sz w:val="24"/>
                <w:szCs w:val="24"/>
              </w:rPr>
              <w:t>江苏祥瑞药业有限公司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1006D3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D3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1006D3">
              <w:rPr>
                <w:rFonts w:ascii="Times New Roman" w:hAnsi="Times New Roman" w:cs="Times New Roman" w:hint="eastAsia"/>
                <w:sz w:val="24"/>
                <w:szCs w:val="24"/>
              </w:rPr>
              <w:t>H20051653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1006D3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06D3">
              <w:rPr>
                <w:rFonts w:ascii="Times New Roman" w:hAnsi="Times New Roman" w:cs="Times New Roman"/>
                <w:sz w:val="24"/>
                <w:szCs w:val="24"/>
              </w:rPr>
              <w:t>2008005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1006D3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D3">
              <w:rPr>
                <w:rFonts w:ascii="Times New Roman" w:hAnsi="Times New Roman" w:cs="Times New Roman" w:hint="eastAsia"/>
                <w:sz w:val="24"/>
                <w:szCs w:val="24"/>
              </w:rPr>
              <w:t>江苏祥瑞药业有限公司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1" w:name="OLE_LINK3"/>
            <w:bookmarkStart w:id="2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1"/>
            <w:bookmarkEnd w:id="2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1006D3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06D3">
              <w:rPr>
                <w:rFonts w:ascii="Times New Roman" w:hAnsi="Times New Roman" w:cs="Times New Roman"/>
                <w:sz w:val="24"/>
                <w:szCs w:val="24"/>
              </w:rPr>
              <w:t>B202000267-01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1006D3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6D3">
              <w:rPr>
                <w:rFonts w:ascii="Times New Roman" w:hAnsi="Times New Roman" w:cs="Times New Roman" w:hint="eastAsia"/>
                <w:sz w:val="24"/>
                <w:szCs w:val="24"/>
              </w:rPr>
              <w:t>暨南大学附属第一医院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DC5804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804">
              <w:rPr>
                <w:rFonts w:ascii="Times New Roman" w:hAnsi="Times New Roman" w:cs="Times New Roman" w:hint="eastAsia"/>
                <w:sz w:val="24"/>
                <w:szCs w:val="24"/>
              </w:rPr>
              <w:t>圣方（上海）医药研发有限公司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DC5804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804">
              <w:rPr>
                <w:rFonts w:ascii="Times New Roman" w:hAnsi="Times New Roman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DC5804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804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单中心、随机、开放、单次给药、两周期、双交叉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DC5804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804">
              <w:rPr>
                <w:rFonts w:ascii="Times New Roman" w:hAnsi="Times New Roman" w:cs="Times New Roman" w:hint="eastAsia"/>
                <w:sz w:val="24"/>
                <w:szCs w:val="24"/>
              </w:rPr>
              <w:t>二甲双胍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盐酸二甲双胍缓释片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DC5804">
        <w:rPr>
          <w:rFonts w:ascii="Times New Roman" w:eastAsia="宋体" w:hAnsi="Times New Roman" w:cs="Times New Roman"/>
          <w:sz w:val="24"/>
          <w:szCs w:val="24"/>
        </w:rPr>
        <w:t>0.5</w:t>
      </w:r>
      <w:r w:rsidR="00AB57C6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二甲双胍</w:t>
      </w:r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698"/>
        <w:gridCol w:w="1926"/>
        <w:gridCol w:w="1239"/>
        <w:gridCol w:w="1239"/>
        <w:gridCol w:w="1239"/>
        <w:gridCol w:w="1835"/>
      </w:tblGrid>
      <w:tr w:rsidR="000B6459" w:rsidRPr="001038EE" w:rsidTr="00DC5804">
        <w:trPr>
          <w:trHeight w:val="425"/>
          <w:jc w:val="center"/>
        </w:trPr>
        <w:tc>
          <w:tcPr>
            <w:tcW w:w="427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1006D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DC5804">
              <w:rPr>
                <w:rFonts w:ascii="Times New Roman" w:eastAsiaTheme="minorEastAsia" w:hAnsi="Times New Roman"/>
                <w:sz w:val="21"/>
                <w:szCs w:val="21"/>
              </w:rPr>
              <w:t>28</w:t>
            </w:r>
          </w:p>
        </w:tc>
        <w:tc>
          <w:tcPr>
            <w:tcW w:w="1178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73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1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B4A07" w:rsidRPr="001038EE" w:rsidTr="00DC5804">
        <w:trPr>
          <w:trHeight w:val="425"/>
          <w:jc w:val="center"/>
        </w:trPr>
        <w:tc>
          <w:tcPr>
            <w:tcW w:w="427" w:type="pct"/>
            <w:vMerge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Merge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1" w:type="pct"/>
            <w:vMerge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C5804" w:rsidRPr="001038EE" w:rsidTr="00DC5804">
        <w:trPr>
          <w:trHeight w:val="425"/>
          <w:jc w:val="center"/>
        </w:trPr>
        <w:tc>
          <w:tcPr>
            <w:tcW w:w="427" w:type="pct"/>
            <w:vMerge/>
          </w:tcPr>
          <w:p w:rsidR="00DC5804" w:rsidRPr="001038EE" w:rsidRDefault="00DC5804" w:rsidP="00DC580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DC5804" w:rsidRPr="00D7147B" w:rsidRDefault="00DC5804" w:rsidP="00DC580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vAlign w:val="center"/>
          </w:tcPr>
          <w:p w:rsidR="00DC5804" w:rsidRPr="00DC5804" w:rsidRDefault="00DC5804" w:rsidP="00DC5804">
            <w:pPr>
              <w:widowControl/>
              <w:snapToGrid w:val="0"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4904.4</w:t>
            </w:r>
          </w:p>
        </w:tc>
        <w:tc>
          <w:tcPr>
            <w:tcW w:w="758" w:type="pct"/>
            <w:vAlign w:val="center"/>
          </w:tcPr>
          <w:p w:rsidR="00DC5804" w:rsidRPr="00DC5804" w:rsidRDefault="00DC5804" w:rsidP="00DC5804">
            <w:pPr>
              <w:widowControl/>
              <w:snapToGrid w:val="0"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4866.7</w:t>
            </w:r>
          </w:p>
        </w:tc>
        <w:tc>
          <w:tcPr>
            <w:tcW w:w="758" w:type="pct"/>
            <w:vAlign w:val="center"/>
          </w:tcPr>
          <w:p w:rsidR="00DC5804" w:rsidRPr="00DC5804" w:rsidRDefault="00DC5804" w:rsidP="00DC5804">
            <w:pPr>
              <w:widowControl/>
              <w:snapToGrid w:val="0"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100.78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804" w:rsidRPr="00DC5804" w:rsidRDefault="00DC5804" w:rsidP="00DC5804">
            <w:pPr>
              <w:widowControl/>
              <w:snapToGrid w:val="0"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96.35</w:t>
            </w:r>
            <w:r>
              <w:rPr>
                <w:sz w:val="21"/>
                <w:szCs w:val="21"/>
              </w:rPr>
              <w:t>%</w:t>
            </w:r>
            <w:r w:rsidRPr="00DC5804">
              <w:rPr>
                <w:sz w:val="21"/>
                <w:szCs w:val="21"/>
              </w:rPr>
              <w:t>~105.40</w:t>
            </w:r>
            <w:r>
              <w:rPr>
                <w:sz w:val="21"/>
                <w:szCs w:val="21"/>
              </w:rPr>
              <w:t>%</w:t>
            </w:r>
          </w:p>
        </w:tc>
      </w:tr>
      <w:tr w:rsidR="00DC5804" w:rsidRPr="001038EE" w:rsidTr="00DC5804">
        <w:trPr>
          <w:trHeight w:val="425"/>
          <w:jc w:val="center"/>
        </w:trPr>
        <w:tc>
          <w:tcPr>
            <w:tcW w:w="427" w:type="pct"/>
            <w:vMerge/>
          </w:tcPr>
          <w:p w:rsidR="00DC5804" w:rsidRPr="001038EE" w:rsidRDefault="00DC5804" w:rsidP="00DC580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DC5804" w:rsidRPr="00D7147B" w:rsidRDefault="00DC5804" w:rsidP="00DC580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DC5804" w:rsidRPr="00DC5804" w:rsidRDefault="00DC5804" w:rsidP="00DC5804">
            <w:pPr>
              <w:widowControl/>
              <w:snapToGrid w:val="0"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5057.6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DC5804" w:rsidRPr="00DC5804" w:rsidRDefault="00DC5804" w:rsidP="00DC5804">
            <w:pPr>
              <w:widowControl/>
              <w:snapToGrid w:val="0"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5025.4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DC5804" w:rsidRPr="00DC5804" w:rsidRDefault="00DC5804" w:rsidP="00DC5804">
            <w:pPr>
              <w:widowControl/>
              <w:snapToGrid w:val="0"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100.64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804" w:rsidRPr="00DC5804" w:rsidRDefault="00DC5804" w:rsidP="00DC5804">
            <w:pPr>
              <w:widowControl/>
              <w:snapToGrid w:val="0"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96.16</w:t>
            </w:r>
            <w:r>
              <w:rPr>
                <w:sz w:val="21"/>
                <w:szCs w:val="21"/>
              </w:rPr>
              <w:t>%</w:t>
            </w:r>
            <w:r w:rsidRPr="00DC5804">
              <w:rPr>
                <w:sz w:val="21"/>
                <w:szCs w:val="21"/>
              </w:rPr>
              <w:t>~105.34</w:t>
            </w:r>
            <w:r>
              <w:rPr>
                <w:sz w:val="21"/>
                <w:szCs w:val="21"/>
              </w:rPr>
              <w:t>%</w:t>
            </w:r>
          </w:p>
        </w:tc>
      </w:tr>
      <w:tr w:rsidR="00DC5804" w:rsidRPr="001038EE" w:rsidTr="00DC5804">
        <w:trPr>
          <w:trHeight w:val="425"/>
          <w:jc w:val="center"/>
        </w:trPr>
        <w:tc>
          <w:tcPr>
            <w:tcW w:w="427" w:type="pct"/>
            <w:vMerge/>
          </w:tcPr>
          <w:p w:rsidR="00DC5804" w:rsidRPr="001038EE" w:rsidRDefault="00DC5804" w:rsidP="00DC580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DC5804" w:rsidRPr="00D7147B" w:rsidRDefault="00DC5804" w:rsidP="00DC580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single" w:sz="4" w:space="0" w:color="auto"/>
            </w:tcBorders>
            <w:vAlign w:val="center"/>
          </w:tcPr>
          <w:p w:rsidR="00DC5804" w:rsidRPr="00DC5804" w:rsidRDefault="00DC5804" w:rsidP="00DC5804">
            <w:pPr>
              <w:widowControl/>
              <w:snapToGrid w:val="0"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798.2</w:t>
            </w:r>
          </w:p>
        </w:tc>
        <w:tc>
          <w:tcPr>
            <w:tcW w:w="758" w:type="pct"/>
            <w:tcBorders>
              <w:top w:val="single" w:sz="4" w:space="0" w:color="auto"/>
            </w:tcBorders>
            <w:vAlign w:val="center"/>
          </w:tcPr>
          <w:p w:rsidR="00DC5804" w:rsidRPr="00DC5804" w:rsidRDefault="00DC5804" w:rsidP="00DC5804">
            <w:pPr>
              <w:widowControl/>
              <w:snapToGrid w:val="0"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758.9</w:t>
            </w:r>
          </w:p>
        </w:tc>
        <w:tc>
          <w:tcPr>
            <w:tcW w:w="758" w:type="pct"/>
            <w:tcBorders>
              <w:top w:val="single" w:sz="4" w:space="0" w:color="auto"/>
            </w:tcBorders>
            <w:vAlign w:val="center"/>
          </w:tcPr>
          <w:p w:rsidR="00DC5804" w:rsidRPr="00DC5804" w:rsidRDefault="00DC5804" w:rsidP="00DC5804">
            <w:pPr>
              <w:widowControl/>
              <w:snapToGrid w:val="0"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105.18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804" w:rsidRPr="00DC5804" w:rsidRDefault="00DC5804" w:rsidP="00DC5804">
            <w:pPr>
              <w:widowControl/>
              <w:snapToGrid w:val="0"/>
              <w:jc w:val="center"/>
              <w:rPr>
                <w:rFonts w:eastAsiaTheme="minorEastAsia"/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99.39</w:t>
            </w:r>
            <w:r>
              <w:rPr>
                <w:sz w:val="21"/>
                <w:szCs w:val="21"/>
              </w:rPr>
              <w:t>%</w:t>
            </w:r>
            <w:r w:rsidRPr="00DC5804">
              <w:rPr>
                <w:sz w:val="21"/>
                <w:szCs w:val="21"/>
              </w:rPr>
              <w:t>~111.30</w:t>
            </w:r>
            <w:r>
              <w:rPr>
                <w:sz w:val="21"/>
                <w:szCs w:val="21"/>
              </w:rPr>
              <w:t>%</w:t>
            </w:r>
          </w:p>
        </w:tc>
      </w:tr>
      <w:tr w:rsidR="00DC5804" w:rsidRPr="001038EE" w:rsidTr="00DC5804">
        <w:trPr>
          <w:trHeight w:val="425"/>
          <w:jc w:val="center"/>
        </w:trPr>
        <w:tc>
          <w:tcPr>
            <w:tcW w:w="427" w:type="pct"/>
            <w:vMerge w:val="restart"/>
            <w:vAlign w:val="center"/>
          </w:tcPr>
          <w:p w:rsidR="00DC5804" w:rsidRPr="001038EE" w:rsidRDefault="00DC5804" w:rsidP="00DC580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DC5804" w:rsidRPr="001038EE" w:rsidRDefault="00DC5804" w:rsidP="00DC580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DC5804" w:rsidRPr="001038EE" w:rsidRDefault="00DC5804" w:rsidP="00DC580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DC5804" w:rsidRPr="001038EE" w:rsidRDefault="00DC5804" w:rsidP="00DC580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28</w:t>
            </w:r>
          </w:p>
        </w:tc>
        <w:tc>
          <w:tcPr>
            <w:tcW w:w="1178" w:type="pct"/>
            <w:vMerge w:val="restart"/>
            <w:vAlign w:val="center"/>
          </w:tcPr>
          <w:p w:rsidR="00DC5804" w:rsidRPr="001038EE" w:rsidRDefault="00DC5804" w:rsidP="00DC580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73" w:type="pct"/>
            <w:gridSpan w:val="3"/>
            <w:tcBorders>
              <w:top w:val="single" w:sz="4" w:space="0" w:color="auto"/>
            </w:tcBorders>
            <w:vAlign w:val="center"/>
          </w:tcPr>
          <w:p w:rsidR="00DC5804" w:rsidRPr="001038EE" w:rsidRDefault="00DC5804" w:rsidP="00DC580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1" w:type="pct"/>
            <w:vMerge w:val="restart"/>
            <w:tcBorders>
              <w:top w:val="nil"/>
            </w:tcBorders>
            <w:vAlign w:val="center"/>
          </w:tcPr>
          <w:p w:rsidR="00DC5804" w:rsidRPr="001038EE" w:rsidRDefault="00DC5804" w:rsidP="00DC580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DC5804" w:rsidRPr="001038EE" w:rsidTr="00DC5804">
        <w:trPr>
          <w:trHeight w:val="425"/>
          <w:jc w:val="center"/>
        </w:trPr>
        <w:tc>
          <w:tcPr>
            <w:tcW w:w="427" w:type="pct"/>
            <w:vMerge/>
          </w:tcPr>
          <w:p w:rsidR="00DC5804" w:rsidRPr="001038EE" w:rsidRDefault="00DC5804" w:rsidP="00DC580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Merge/>
            <w:vAlign w:val="center"/>
          </w:tcPr>
          <w:p w:rsidR="00DC5804" w:rsidRPr="001038EE" w:rsidRDefault="00DC5804" w:rsidP="00DC580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DC5804" w:rsidRPr="001038EE" w:rsidRDefault="00DC5804" w:rsidP="00DC580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DC5804" w:rsidRPr="001038EE" w:rsidRDefault="00DC5804" w:rsidP="00DC580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DC5804" w:rsidRPr="001038EE" w:rsidRDefault="00DC5804" w:rsidP="00DC580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1" w:type="pct"/>
            <w:vMerge/>
            <w:tcBorders>
              <w:bottom w:val="single" w:sz="4" w:space="0" w:color="auto"/>
            </w:tcBorders>
            <w:vAlign w:val="center"/>
          </w:tcPr>
          <w:p w:rsidR="00DC5804" w:rsidRPr="001038EE" w:rsidRDefault="00DC5804" w:rsidP="00DC580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C5804" w:rsidRPr="001038EE" w:rsidTr="00DC5804">
        <w:trPr>
          <w:trHeight w:val="425"/>
          <w:jc w:val="center"/>
        </w:trPr>
        <w:tc>
          <w:tcPr>
            <w:tcW w:w="427" w:type="pct"/>
            <w:vMerge/>
          </w:tcPr>
          <w:p w:rsidR="00DC5804" w:rsidRPr="001038EE" w:rsidRDefault="00DC5804" w:rsidP="00DC580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DC5804" w:rsidRPr="00D7147B" w:rsidRDefault="00DC5804" w:rsidP="00DC580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vAlign w:val="center"/>
          </w:tcPr>
          <w:p w:rsidR="00DC5804" w:rsidRPr="00DC5804" w:rsidRDefault="00DC5804" w:rsidP="00DC5804">
            <w:pPr>
              <w:widowControl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7053.3</w:t>
            </w:r>
          </w:p>
        </w:tc>
        <w:tc>
          <w:tcPr>
            <w:tcW w:w="758" w:type="pct"/>
            <w:vAlign w:val="center"/>
          </w:tcPr>
          <w:p w:rsidR="00DC5804" w:rsidRPr="00DC5804" w:rsidRDefault="00DC5804" w:rsidP="00DC5804">
            <w:pPr>
              <w:widowControl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6790.1</w:t>
            </w:r>
          </w:p>
        </w:tc>
        <w:tc>
          <w:tcPr>
            <w:tcW w:w="758" w:type="pct"/>
            <w:vAlign w:val="center"/>
          </w:tcPr>
          <w:p w:rsidR="00DC5804" w:rsidRPr="00DC5804" w:rsidRDefault="00DC5804" w:rsidP="00DC5804">
            <w:pPr>
              <w:widowControl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103.88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804" w:rsidRPr="00DC5804" w:rsidRDefault="00DC5804" w:rsidP="00DC5804">
            <w:pPr>
              <w:widowControl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96.31</w:t>
            </w:r>
            <w:r>
              <w:rPr>
                <w:sz w:val="21"/>
                <w:szCs w:val="21"/>
              </w:rPr>
              <w:t>%</w:t>
            </w:r>
            <w:r w:rsidRPr="00DC5804">
              <w:rPr>
                <w:sz w:val="21"/>
                <w:szCs w:val="21"/>
              </w:rPr>
              <w:t>~112.04</w:t>
            </w:r>
            <w:r>
              <w:rPr>
                <w:sz w:val="21"/>
                <w:szCs w:val="21"/>
              </w:rPr>
              <w:t>%</w:t>
            </w:r>
          </w:p>
        </w:tc>
      </w:tr>
      <w:tr w:rsidR="00DC5804" w:rsidRPr="001038EE" w:rsidTr="00DC5804">
        <w:trPr>
          <w:trHeight w:val="425"/>
          <w:jc w:val="center"/>
        </w:trPr>
        <w:tc>
          <w:tcPr>
            <w:tcW w:w="427" w:type="pct"/>
            <w:vMerge/>
          </w:tcPr>
          <w:p w:rsidR="00DC5804" w:rsidRPr="001038EE" w:rsidRDefault="00DC5804" w:rsidP="00DC580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DC5804" w:rsidRPr="00D7147B" w:rsidRDefault="00DC5804" w:rsidP="00DC580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DC5804" w:rsidRPr="00DC5804" w:rsidRDefault="00DC5804" w:rsidP="00DC5804">
            <w:pPr>
              <w:widowControl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7162.1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DC5804" w:rsidRPr="00DC5804" w:rsidRDefault="00DC5804" w:rsidP="00DC5804">
            <w:pPr>
              <w:widowControl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6921.1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DC5804" w:rsidRPr="00DC5804" w:rsidRDefault="00DC5804" w:rsidP="00DC5804">
            <w:pPr>
              <w:widowControl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103.48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804" w:rsidRPr="00DC5804" w:rsidRDefault="00DC5804" w:rsidP="00DC5804">
            <w:pPr>
              <w:widowControl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96.44</w:t>
            </w:r>
            <w:r>
              <w:rPr>
                <w:sz w:val="21"/>
                <w:szCs w:val="21"/>
              </w:rPr>
              <w:t>%</w:t>
            </w:r>
            <w:r w:rsidRPr="00DC5804">
              <w:rPr>
                <w:sz w:val="21"/>
                <w:szCs w:val="21"/>
              </w:rPr>
              <w:t>~111.04</w:t>
            </w:r>
            <w:r>
              <w:rPr>
                <w:sz w:val="21"/>
                <w:szCs w:val="21"/>
              </w:rPr>
              <w:t>%</w:t>
            </w:r>
          </w:p>
        </w:tc>
      </w:tr>
      <w:tr w:rsidR="00DC5804" w:rsidRPr="001038EE" w:rsidTr="00DC5804">
        <w:trPr>
          <w:trHeight w:val="425"/>
          <w:jc w:val="center"/>
        </w:trPr>
        <w:tc>
          <w:tcPr>
            <w:tcW w:w="427" w:type="pct"/>
            <w:vMerge/>
          </w:tcPr>
          <w:p w:rsidR="00DC5804" w:rsidRPr="001038EE" w:rsidRDefault="00DC5804" w:rsidP="00DC580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DC5804" w:rsidRPr="00D7147B" w:rsidRDefault="00DC5804" w:rsidP="00DC580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single" w:sz="4" w:space="0" w:color="auto"/>
            </w:tcBorders>
            <w:vAlign w:val="center"/>
          </w:tcPr>
          <w:p w:rsidR="00DC5804" w:rsidRPr="00DC5804" w:rsidRDefault="00DC5804" w:rsidP="00DC5804">
            <w:pPr>
              <w:widowControl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683.5</w:t>
            </w:r>
          </w:p>
        </w:tc>
        <w:tc>
          <w:tcPr>
            <w:tcW w:w="758" w:type="pct"/>
            <w:tcBorders>
              <w:top w:val="single" w:sz="4" w:space="0" w:color="auto"/>
            </w:tcBorders>
            <w:vAlign w:val="center"/>
          </w:tcPr>
          <w:p w:rsidR="00DC5804" w:rsidRPr="00DC5804" w:rsidRDefault="00DC5804" w:rsidP="00DC5804">
            <w:pPr>
              <w:widowControl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623.5</w:t>
            </w:r>
          </w:p>
        </w:tc>
        <w:tc>
          <w:tcPr>
            <w:tcW w:w="758" w:type="pct"/>
            <w:tcBorders>
              <w:top w:val="single" w:sz="4" w:space="0" w:color="auto"/>
            </w:tcBorders>
            <w:vAlign w:val="center"/>
          </w:tcPr>
          <w:p w:rsidR="00DC5804" w:rsidRPr="00DC5804" w:rsidRDefault="00DC5804" w:rsidP="00DC5804">
            <w:pPr>
              <w:widowControl/>
              <w:jc w:val="center"/>
              <w:rPr>
                <w:sz w:val="21"/>
                <w:szCs w:val="21"/>
              </w:rPr>
            </w:pPr>
            <w:r w:rsidRPr="00DC5804">
              <w:rPr>
                <w:sz w:val="21"/>
                <w:szCs w:val="21"/>
              </w:rPr>
              <w:t>109.62</w:t>
            </w:r>
          </w:p>
        </w:tc>
        <w:tc>
          <w:tcPr>
            <w:tcW w:w="1121" w:type="pct"/>
            <w:shd w:val="clear" w:color="auto" w:fill="auto"/>
            <w:vAlign w:val="center"/>
          </w:tcPr>
          <w:p w:rsidR="00DC5804" w:rsidRPr="00DC5804" w:rsidRDefault="00DC5804" w:rsidP="00DC5804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DC5804">
              <w:rPr>
                <w:color w:val="auto"/>
                <w:sz w:val="21"/>
                <w:szCs w:val="21"/>
              </w:rPr>
              <w:t>101.77</w:t>
            </w:r>
            <w:r>
              <w:rPr>
                <w:color w:val="auto"/>
                <w:sz w:val="21"/>
                <w:szCs w:val="21"/>
              </w:rPr>
              <w:t>%</w:t>
            </w:r>
            <w:r w:rsidRPr="00DC5804">
              <w:rPr>
                <w:color w:val="auto"/>
                <w:sz w:val="21"/>
                <w:szCs w:val="21"/>
              </w:rPr>
              <w:t>~118.07</w:t>
            </w:r>
            <w:r>
              <w:rPr>
                <w:color w:val="auto"/>
                <w:sz w:val="21"/>
                <w:szCs w:val="21"/>
              </w:rPr>
              <w:t>%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江苏祥瑞药业有限公司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盐酸二甲双胍缓释片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DC5804">
        <w:rPr>
          <w:rFonts w:ascii="Times New Roman" w:eastAsia="宋体" w:hAnsi="Times New Roman" w:cs="Times New Roman"/>
          <w:sz w:val="24"/>
          <w:szCs w:val="24"/>
        </w:rPr>
        <w:t>0.5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F46" w:rsidRDefault="00C26F46" w:rsidP="00D45C81">
      <w:r>
        <w:separator/>
      </w:r>
    </w:p>
  </w:endnote>
  <w:endnote w:type="continuationSeparator" w:id="0">
    <w:p w:rsidR="00C26F46" w:rsidRDefault="00C26F4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D63FF" w:rsidRPr="00DD63FF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F46" w:rsidRDefault="00C26F46" w:rsidP="00D45C81">
      <w:r>
        <w:separator/>
      </w:r>
    </w:p>
  </w:footnote>
  <w:footnote w:type="continuationSeparator" w:id="0">
    <w:p w:rsidR="00C26F46" w:rsidRDefault="00C26F4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2F37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06D3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11EC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4A07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26F46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804"/>
    <w:rsid w:val="00DC5B9E"/>
    <w:rsid w:val="00DC7162"/>
    <w:rsid w:val="00DD63FF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4F85D-2491-4EB4-902A-54765D22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2</cp:revision>
  <dcterms:created xsi:type="dcterms:W3CDTF">2022-07-14T11:30:00Z</dcterms:created>
  <dcterms:modified xsi:type="dcterms:W3CDTF">2022-07-14T11:30:00Z</dcterms:modified>
</cp:coreProperties>
</file>