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3A5" w:rsidRPr="004A756A" w:rsidRDefault="006B371B" w:rsidP="006B371B">
      <w:pPr>
        <w:widowControl/>
        <w:jc w:val="center"/>
        <w:rPr>
          <w:rFonts w:ascii="Times New Roman" w:eastAsia="方正小标宋简体" w:hAnsi="Times New Roman"/>
          <w:sz w:val="36"/>
          <w:szCs w:val="30"/>
        </w:rPr>
      </w:pPr>
      <w:r w:rsidRPr="004A756A">
        <w:rPr>
          <w:rFonts w:ascii="Times New Roman" w:eastAsia="微软雅黑" w:hAnsi="Times New Roman" w:cs="微软雅黑" w:hint="eastAsia"/>
          <w:sz w:val="36"/>
          <w:szCs w:val="30"/>
        </w:rPr>
        <w:t>一致性评价</w:t>
      </w:r>
      <w:r w:rsidR="00587924" w:rsidRPr="004A756A">
        <w:rPr>
          <w:rFonts w:ascii="Times New Roman" w:eastAsia="微软雅黑" w:hAnsi="Times New Roman" w:cs="微软雅黑" w:hint="eastAsia"/>
          <w:sz w:val="36"/>
          <w:szCs w:val="30"/>
        </w:rPr>
        <w:t>企业研究报告及生物等效性试验数据</w:t>
      </w:r>
    </w:p>
    <w:p w:rsidR="006B371B" w:rsidRPr="004A756A" w:rsidRDefault="00587924" w:rsidP="006B371B">
      <w:pPr>
        <w:widowControl/>
        <w:jc w:val="center"/>
        <w:rPr>
          <w:rFonts w:ascii="Times New Roman" w:eastAsia="方正小标宋简体" w:hAnsi="Times New Roman"/>
          <w:sz w:val="36"/>
          <w:szCs w:val="30"/>
        </w:rPr>
      </w:pPr>
      <w:r w:rsidRPr="004A756A">
        <w:rPr>
          <w:rFonts w:ascii="Times New Roman" w:eastAsia="微软雅黑" w:hAnsi="Times New Roman" w:cs="微软雅黑" w:hint="eastAsia"/>
          <w:sz w:val="36"/>
          <w:szCs w:val="30"/>
        </w:rPr>
        <w:t>信息公开</w:t>
      </w:r>
    </w:p>
    <w:p w:rsidR="008A03A5" w:rsidRPr="004A756A" w:rsidRDefault="008A03A5" w:rsidP="006B371B">
      <w:pPr>
        <w:widowControl/>
        <w:jc w:val="center"/>
        <w:rPr>
          <w:rFonts w:ascii="Times New Roman" w:eastAsia="方正小标宋简体" w:hAnsi="Times New Roman"/>
          <w:sz w:val="36"/>
          <w:szCs w:val="30"/>
        </w:rPr>
      </w:pPr>
    </w:p>
    <w:p w:rsidR="00825632" w:rsidRPr="004A756A" w:rsidRDefault="00641826" w:rsidP="00587924">
      <w:pPr>
        <w:pStyle w:val="a8"/>
        <w:numPr>
          <w:ilvl w:val="0"/>
          <w:numId w:val="1"/>
        </w:numPr>
        <w:ind w:firstLineChars="0"/>
        <w:rPr>
          <w:rFonts w:ascii="Times New Roman" w:hAnsi="Times New Roman"/>
          <w:b/>
          <w:sz w:val="24"/>
          <w:szCs w:val="24"/>
        </w:rPr>
      </w:pPr>
      <w:r w:rsidRPr="004A756A">
        <w:rPr>
          <w:rFonts w:ascii="Times New Roman" w:hAnsi="Times New Roman" w:hint="eastAsia"/>
          <w:b/>
          <w:sz w:val="24"/>
          <w:szCs w:val="24"/>
        </w:rPr>
        <w:t>基本情况</w:t>
      </w:r>
      <w:r w:rsidR="00587924" w:rsidRPr="004A756A">
        <w:rPr>
          <w:rFonts w:ascii="Times New Roman" w:hAnsi="Times New Roman" w:hint="eastAsia"/>
          <w:b/>
          <w:sz w:val="24"/>
          <w:szCs w:val="24"/>
        </w:rPr>
        <w:t>汇总</w:t>
      </w:r>
      <w:r w:rsidR="00587924" w:rsidRPr="004A756A">
        <w:rPr>
          <w:rFonts w:ascii="Times New Roman" w:hAnsi="Times New Roman"/>
          <w:b/>
          <w:sz w:val="24"/>
          <w:szCs w:val="24"/>
        </w:rPr>
        <w:t>表</w:t>
      </w:r>
    </w:p>
    <w:tbl>
      <w:tblPr>
        <w:tblW w:w="9334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491"/>
        <w:gridCol w:w="5843"/>
      </w:tblGrid>
      <w:tr w:rsidR="00B11091" w:rsidRPr="004A756A" w:rsidTr="00B11091">
        <w:trPr>
          <w:trHeight w:val="465"/>
          <w:jc w:val="center"/>
        </w:trPr>
        <w:tc>
          <w:tcPr>
            <w:tcW w:w="3491" w:type="dxa"/>
            <w:vAlign w:val="center"/>
          </w:tcPr>
          <w:p w:rsidR="00B11091" w:rsidRPr="004A756A" w:rsidRDefault="00B11091" w:rsidP="00185C48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4A756A">
              <w:rPr>
                <w:rFonts w:ascii="Times New Roman" w:hAnsi="Times New Roman" w:hint="eastAsia"/>
                <w:sz w:val="24"/>
                <w:szCs w:val="24"/>
              </w:rPr>
              <w:t>通用名</w:t>
            </w:r>
          </w:p>
        </w:tc>
        <w:tc>
          <w:tcPr>
            <w:tcW w:w="5843" w:type="dxa"/>
            <w:vAlign w:val="center"/>
          </w:tcPr>
          <w:p w:rsidR="00B11091" w:rsidRPr="004A756A" w:rsidRDefault="00E94FC7" w:rsidP="00185C48">
            <w:pPr>
              <w:rPr>
                <w:rFonts w:ascii="Times New Roman" w:hAnsi="Times New Roman"/>
                <w:sz w:val="24"/>
                <w:szCs w:val="24"/>
              </w:rPr>
            </w:pPr>
            <w:r w:rsidRPr="004A756A">
              <w:rPr>
                <w:rFonts w:ascii="Times New Roman" w:hAnsi="Times New Roman"/>
                <w:sz w:val="24"/>
                <w:szCs w:val="24"/>
              </w:rPr>
              <w:t>盐酸二甲双</w:t>
            </w:r>
            <w:proofErr w:type="gramStart"/>
            <w:r w:rsidRPr="004A756A">
              <w:rPr>
                <w:rFonts w:ascii="Times New Roman" w:hAnsi="Times New Roman"/>
                <w:sz w:val="24"/>
                <w:szCs w:val="24"/>
              </w:rPr>
              <w:t>胍</w:t>
            </w:r>
            <w:proofErr w:type="gramEnd"/>
            <w:r w:rsidRPr="004A756A">
              <w:rPr>
                <w:rFonts w:ascii="Times New Roman" w:hAnsi="Times New Roman"/>
                <w:sz w:val="24"/>
                <w:szCs w:val="24"/>
              </w:rPr>
              <w:t>缓释片</w:t>
            </w:r>
          </w:p>
        </w:tc>
      </w:tr>
      <w:tr w:rsidR="00B11091" w:rsidRPr="004A756A" w:rsidTr="00B11091">
        <w:trPr>
          <w:trHeight w:val="465"/>
          <w:jc w:val="center"/>
        </w:trPr>
        <w:tc>
          <w:tcPr>
            <w:tcW w:w="3491" w:type="dxa"/>
            <w:vAlign w:val="center"/>
          </w:tcPr>
          <w:p w:rsidR="00B11091" w:rsidRPr="004A756A" w:rsidRDefault="00B11091" w:rsidP="00185C48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4A756A">
              <w:rPr>
                <w:rFonts w:ascii="Times New Roman" w:hAnsi="Times New Roman" w:hint="eastAsia"/>
                <w:sz w:val="24"/>
                <w:szCs w:val="24"/>
              </w:rPr>
              <w:t>英文名</w:t>
            </w:r>
          </w:p>
        </w:tc>
        <w:tc>
          <w:tcPr>
            <w:tcW w:w="5843" w:type="dxa"/>
            <w:vAlign w:val="center"/>
          </w:tcPr>
          <w:p w:rsidR="00B11091" w:rsidRPr="004A756A" w:rsidRDefault="00E94FC7" w:rsidP="00185C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756A">
              <w:rPr>
                <w:rFonts w:ascii="Times New Roman" w:hAnsi="Times New Roman"/>
                <w:sz w:val="24"/>
                <w:szCs w:val="24"/>
              </w:rPr>
              <w:t>Metformin Hydrochloride Sustained-release Tablets</w:t>
            </w:r>
          </w:p>
        </w:tc>
      </w:tr>
      <w:tr w:rsidR="00B11091" w:rsidRPr="004A756A" w:rsidTr="00B11091">
        <w:trPr>
          <w:trHeight w:val="465"/>
          <w:jc w:val="center"/>
        </w:trPr>
        <w:tc>
          <w:tcPr>
            <w:tcW w:w="3491" w:type="dxa"/>
            <w:vAlign w:val="center"/>
          </w:tcPr>
          <w:p w:rsidR="00B11091" w:rsidRPr="004A756A" w:rsidRDefault="00B11091" w:rsidP="00185C48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4A756A">
              <w:rPr>
                <w:rFonts w:ascii="Times New Roman" w:hAnsi="Times New Roman" w:hint="eastAsia"/>
                <w:sz w:val="24"/>
                <w:szCs w:val="24"/>
              </w:rPr>
              <w:t>剂型及规格</w:t>
            </w:r>
          </w:p>
        </w:tc>
        <w:tc>
          <w:tcPr>
            <w:tcW w:w="5843" w:type="dxa"/>
            <w:vAlign w:val="center"/>
          </w:tcPr>
          <w:p w:rsidR="00B11091" w:rsidRPr="004A756A" w:rsidRDefault="00F808FB" w:rsidP="00185C48">
            <w:pPr>
              <w:rPr>
                <w:rFonts w:ascii="Times New Roman" w:hAnsi="Times New Roman"/>
                <w:sz w:val="24"/>
                <w:szCs w:val="24"/>
              </w:rPr>
            </w:pPr>
            <w:r w:rsidRPr="004A756A">
              <w:rPr>
                <w:rFonts w:ascii="Times New Roman" w:hAnsi="Times New Roman" w:hint="eastAsia"/>
                <w:sz w:val="24"/>
                <w:szCs w:val="24"/>
              </w:rPr>
              <w:t>片剂，</w:t>
            </w:r>
            <w:r w:rsidR="00E94FC7" w:rsidRPr="004A756A">
              <w:rPr>
                <w:rFonts w:ascii="Times New Roman" w:hAnsi="Times New Roman"/>
                <w:sz w:val="24"/>
                <w:szCs w:val="24"/>
              </w:rPr>
              <w:t>0.5g</w:t>
            </w:r>
          </w:p>
        </w:tc>
      </w:tr>
      <w:tr w:rsidR="00B11091" w:rsidRPr="002B2F75" w:rsidTr="00B11091">
        <w:trPr>
          <w:trHeight w:val="465"/>
          <w:jc w:val="center"/>
        </w:trPr>
        <w:tc>
          <w:tcPr>
            <w:tcW w:w="3491" w:type="dxa"/>
            <w:vAlign w:val="center"/>
          </w:tcPr>
          <w:p w:rsidR="00B11091" w:rsidRPr="004A756A" w:rsidRDefault="00B11091" w:rsidP="00185C48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4A756A">
              <w:rPr>
                <w:rFonts w:ascii="Times New Roman" w:hAnsi="Times New Roman" w:hint="eastAsia"/>
                <w:sz w:val="24"/>
                <w:szCs w:val="24"/>
              </w:rPr>
              <w:t>生产企业名称</w:t>
            </w:r>
          </w:p>
        </w:tc>
        <w:tc>
          <w:tcPr>
            <w:tcW w:w="5843" w:type="dxa"/>
            <w:vAlign w:val="center"/>
          </w:tcPr>
          <w:p w:rsidR="00B11091" w:rsidRPr="004A756A" w:rsidRDefault="004A756A" w:rsidP="00185C48">
            <w:pPr>
              <w:rPr>
                <w:rFonts w:ascii="Times New Roman" w:hAnsi="Times New Roman"/>
                <w:sz w:val="24"/>
                <w:szCs w:val="24"/>
              </w:rPr>
            </w:pPr>
            <w:r w:rsidRPr="004A756A">
              <w:rPr>
                <w:rFonts w:ascii="Times New Roman" w:hAnsi="Times New Roman" w:hint="eastAsia"/>
                <w:sz w:val="24"/>
                <w:szCs w:val="24"/>
              </w:rPr>
              <w:t>河南福森药业有限公司</w:t>
            </w:r>
          </w:p>
        </w:tc>
      </w:tr>
      <w:tr w:rsidR="00B11091" w:rsidRPr="002B2F75" w:rsidTr="00B11091">
        <w:trPr>
          <w:trHeight w:val="465"/>
          <w:jc w:val="center"/>
        </w:trPr>
        <w:tc>
          <w:tcPr>
            <w:tcW w:w="3491" w:type="dxa"/>
            <w:vAlign w:val="center"/>
          </w:tcPr>
          <w:p w:rsidR="00B11091" w:rsidRPr="004A756A" w:rsidRDefault="00B11091" w:rsidP="00185C48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4A756A">
              <w:rPr>
                <w:rFonts w:ascii="Times New Roman" w:hAnsi="Times New Roman" w:hint="eastAsia"/>
                <w:sz w:val="24"/>
                <w:szCs w:val="24"/>
              </w:rPr>
              <w:t>生产企业地址</w:t>
            </w:r>
          </w:p>
        </w:tc>
        <w:tc>
          <w:tcPr>
            <w:tcW w:w="5843" w:type="dxa"/>
            <w:vAlign w:val="center"/>
          </w:tcPr>
          <w:p w:rsidR="00B11091" w:rsidRPr="004A756A" w:rsidRDefault="004A756A" w:rsidP="00185C48">
            <w:pPr>
              <w:rPr>
                <w:rFonts w:ascii="Times New Roman" w:hAnsi="Times New Roman"/>
                <w:sz w:val="24"/>
                <w:szCs w:val="24"/>
              </w:rPr>
            </w:pPr>
            <w:r w:rsidRPr="004A756A">
              <w:rPr>
                <w:rFonts w:ascii="Times New Roman" w:hAnsi="Times New Roman" w:hint="eastAsia"/>
                <w:sz w:val="24"/>
                <w:szCs w:val="24"/>
              </w:rPr>
              <w:t>河南省</w:t>
            </w:r>
            <w:proofErr w:type="gramStart"/>
            <w:r w:rsidRPr="004A756A">
              <w:rPr>
                <w:rFonts w:ascii="Times New Roman" w:hAnsi="Times New Roman" w:hint="eastAsia"/>
                <w:sz w:val="24"/>
                <w:szCs w:val="24"/>
              </w:rPr>
              <w:t>淅</w:t>
            </w:r>
            <w:proofErr w:type="gramEnd"/>
            <w:r w:rsidRPr="004A756A">
              <w:rPr>
                <w:rFonts w:ascii="Times New Roman" w:hAnsi="Times New Roman" w:hint="eastAsia"/>
                <w:sz w:val="24"/>
                <w:szCs w:val="24"/>
              </w:rPr>
              <w:t>川县金河开发区</w:t>
            </w:r>
          </w:p>
        </w:tc>
      </w:tr>
      <w:tr w:rsidR="00B11091" w:rsidRPr="002B2F75" w:rsidTr="00B11091">
        <w:trPr>
          <w:trHeight w:val="465"/>
          <w:jc w:val="center"/>
        </w:trPr>
        <w:tc>
          <w:tcPr>
            <w:tcW w:w="3491" w:type="dxa"/>
            <w:vAlign w:val="center"/>
          </w:tcPr>
          <w:p w:rsidR="00B11091" w:rsidRPr="004A756A" w:rsidRDefault="00B11091" w:rsidP="00185C48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4A756A">
              <w:rPr>
                <w:rFonts w:ascii="Times New Roman" w:hAnsi="Times New Roman" w:hint="eastAsia"/>
                <w:sz w:val="24"/>
                <w:szCs w:val="24"/>
              </w:rPr>
              <w:t>上市许可持有人</w:t>
            </w:r>
          </w:p>
        </w:tc>
        <w:tc>
          <w:tcPr>
            <w:tcW w:w="5843" w:type="dxa"/>
            <w:vAlign w:val="center"/>
          </w:tcPr>
          <w:p w:rsidR="00B11091" w:rsidRPr="004A756A" w:rsidRDefault="004A756A" w:rsidP="00185C48">
            <w:pPr>
              <w:rPr>
                <w:rFonts w:ascii="Times New Roman" w:hAnsi="Times New Roman"/>
                <w:sz w:val="24"/>
                <w:szCs w:val="24"/>
              </w:rPr>
            </w:pPr>
            <w:r w:rsidRPr="004A756A">
              <w:rPr>
                <w:rFonts w:ascii="Times New Roman" w:hAnsi="Times New Roman" w:hint="eastAsia"/>
                <w:sz w:val="24"/>
                <w:szCs w:val="24"/>
              </w:rPr>
              <w:t>河南福森药业有限公司</w:t>
            </w:r>
          </w:p>
        </w:tc>
      </w:tr>
      <w:tr w:rsidR="00B11091" w:rsidRPr="002B2F75" w:rsidTr="00B11091">
        <w:trPr>
          <w:trHeight w:val="465"/>
          <w:jc w:val="center"/>
        </w:trPr>
        <w:tc>
          <w:tcPr>
            <w:tcW w:w="3491" w:type="dxa"/>
            <w:vAlign w:val="center"/>
          </w:tcPr>
          <w:p w:rsidR="00B11091" w:rsidRPr="004A756A" w:rsidRDefault="008A03A5" w:rsidP="00185C48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4A756A">
              <w:rPr>
                <w:rFonts w:ascii="Times New Roman" w:hAnsi="Times New Roman" w:hint="eastAsia"/>
                <w:sz w:val="24"/>
                <w:szCs w:val="24"/>
              </w:rPr>
              <w:t>最新</w:t>
            </w:r>
            <w:r w:rsidR="00B11091" w:rsidRPr="004A756A">
              <w:rPr>
                <w:rFonts w:ascii="Times New Roman" w:hAnsi="Times New Roman" w:hint="eastAsia"/>
                <w:sz w:val="24"/>
                <w:szCs w:val="24"/>
              </w:rPr>
              <w:t>批准文号</w:t>
            </w:r>
          </w:p>
        </w:tc>
        <w:tc>
          <w:tcPr>
            <w:tcW w:w="5843" w:type="dxa"/>
            <w:vAlign w:val="center"/>
          </w:tcPr>
          <w:p w:rsidR="00B11091" w:rsidRPr="004A756A" w:rsidRDefault="004A756A" w:rsidP="00970D44">
            <w:pPr>
              <w:rPr>
                <w:rFonts w:ascii="Times New Roman" w:hAnsi="Times New Roman"/>
                <w:sz w:val="24"/>
                <w:szCs w:val="24"/>
              </w:rPr>
            </w:pPr>
            <w:r w:rsidRPr="004A756A">
              <w:rPr>
                <w:rFonts w:ascii="Times New Roman" w:hAnsi="Times New Roman" w:hint="eastAsia"/>
                <w:sz w:val="24"/>
                <w:szCs w:val="24"/>
              </w:rPr>
              <w:t>国药准字</w:t>
            </w:r>
            <w:r w:rsidRPr="004A756A">
              <w:rPr>
                <w:rFonts w:ascii="Times New Roman" w:hAnsi="Times New Roman" w:hint="eastAsia"/>
                <w:sz w:val="24"/>
                <w:szCs w:val="24"/>
              </w:rPr>
              <w:t>H20080279</w:t>
            </w:r>
          </w:p>
        </w:tc>
      </w:tr>
      <w:tr w:rsidR="00B11091" w:rsidRPr="002B2F75" w:rsidTr="00B11091">
        <w:trPr>
          <w:trHeight w:val="445"/>
          <w:jc w:val="center"/>
        </w:trPr>
        <w:tc>
          <w:tcPr>
            <w:tcW w:w="3491" w:type="dxa"/>
            <w:vAlign w:val="center"/>
          </w:tcPr>
          <w:p w:rsidR="00B11091" w:rsidRPr="00AB0BAD" w:rsidRDefault="00D65897" w:rsidP="00185C48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AB0BAD">
              <w:rPr>
                <w:rFonts w:ascii="Times New Roman" w:hAnsi="Times New Roman" w:hint="eastAsia"/>
                <w:sz w:val="24"/>
                <w:szCs w:val="24"/>
              </w:rPr>
              <w:t>其它</w:t>
            </w:r>
            <w:r w:rsidR="00B11091" w:rsidRPr="00AB0BAD">
              <w:rPr>
                <w:rFonts w:ascii="Times New Roman" w:hAnsi="Times New Roman" w:hint="eastAsia"/>
                <w:sz w:val="24"/>
                <w:szCs w:val="24"/>
              </w:rPr>
              <w:t>上市国家及上市时间</w:t>
            </w:r>
          </w:p>
        </w:tc>
        <w:tc>
          <w:tcPr>
            <w:tcW w:w="5843" w:type="dxa"/>
            <w:vAlign w:val="center"/>
          </w:tcPr>
          <w:p w:rsidR="00B11091" w:rsidRPr="00AB0BAD" w:rsidRDefault="00EA1C5E" w:rsidP="00185C48">
            <w:pPr>
              <w:rPr>
                <w:rFonts w:ascii="Times New Roman" w:hAnsi="Times New Roman"/>
                <w:sz w:val="24"/>
                <w:szCs w:val="24"/>
              </w:rPr>
            </w:pPr>
            <w:r w:rsidRPr="00AB0BAD">
              <w:rPr>
                <w:rFonts w:ascii="Times New Roman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B11091" w:rsidRPr="002B2F75" w:rsidTr="00B11091">
        <w:trPr>
          <w:trHeight w:val="445"/>
          <w:jc w:val="center"/>
        </w:trPr>
        <w:tc>
          <w:tcPr>
            <w:tcW w:w="3491" w:type="dxa"/>
            <w:vAlign w:val="center"/>
          </w:tcPr>
          <w:p w:rsidR="00B11091" w:rsidRPr="00AB0BAD" w:rsidRDefault="00B11091" w:rsidP="00185C48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AB0BAD">
              <w:rPr>
                <w:rFonts w:ascii="Times New Roman" w:hAnsi="Times New Roman" w:hint="eastAsia"/>
                <w:sz w:val="24"/>
                <w:szCs w:val="24"/>
              </w:rPr>
              <w:t>附加申请</w:t>
            </w:r>
          </w:p>
        </w:tc>
        <w:tc>
          <w:tcPr>
            <w:tcW w:w="5843" w:type="dxa"/>
            <w:vAlign w:val="center"/>
          </w:tcPr>
          <w:p w:rsidR="00B11091" w:rsidRPr="00AB0BAD" w:rsidRDefault="00677092" w:rsidP="00677092">
            <w:pPr>
              <w:ind w:firstLineChars="100" w:firstLine="240"/>
              <w:rPr>
                <w:rFonts w:ascii="Times New Roman" w:hAnsi="Times New Roman"/>
                <w:sz w:val="24"/>
                <w:szCs w:val="24"/>
              </w:rPr>
            </w:pPr>
            <w:r w:rsidRPr="00AB0BAD">
              <w:rPr>
                <w:rFonts w:ascii="Times New Roman" w:hAnsi="Times New Roman" w:hint="eastAsia"/>
                <w:sz w:val="24"/>
                <w:szCs w:val="24"/>
              </w:rPr>
              <w:t>■</w:t>
            </w:r>
            <w:r w:rsidR="00B11091" w:rsidRPr="00AB0BAD">
              <w:rPr>
                <w:rFonts w:ascii="Times New Roman" w:hAnsi="Times New Roman" w:hint="eastAsia"/>
                <w:sz w:val="24"/>
                <w:szCs w:val="24"/>
              </w:rPr>
              <w:t>有工艺变更</w:t>
            </w:r>
            <w:r w:rsidR="00B11091" w:rsidRPr="00AB0BAD">
              <w:rPr>
                <w:rFonts w:ascii="Times New Roman" w:hAnsi="Times New Roman" w:hint="eastAsia"/>
                <w:sz w:val="24"/>
                <w:szCs w:val="24"/>
              </w:rPr>
              <w:t xml:space="preserve"> </w:t>
            </w:r>
          </w:p>
          <w:p w:rsidR="00B11091" w:rsidRPr="00AB0BAD" w:rsidRDefault="00B11091" w:rsidP="00D91CF3">
            <w:pPr>
              <w:ind w:firstLineChars="100" w:firstLine="240"/>
              <w:rPr>
                <w:rFonts w:ascii="Times New Roman" w:hAnsi="Times New Roman"/>
                <w:sz w:val="24"/>
                <w:szCs w:val="24"/>
              </w:rPr>
            </w:pPr>
            <w:r w:rsidRPr="00AB0BAD">
              <w:rPr>
                <w:rFonts w:ascii="Times New Roman" w:hAnsi="Times New Roman" w:hint="eastAsia"/>
                <w:sz w:val="24"/>
                <w:szCs w:val="24"/>
              </w:rPr>
              <w:t>□无工艺变更</w:t>
            </w:r>
          </w:p>
          <w:p w:rsidR="00B11091" w:rsidRPr="00AB0BAD" w:rsidRDefault="00B11091" w:rsidP="00D65897">
            <w:pPr>
              <w:ind w:firstLineChars="100" w:firstLine="240"/>
              <w:rPr>
                <w:rFonts w:ascii="Times New Roman" w:hAnsi="Times New Roman"/>
                <w:b/>
                <w:sz w:val="24"/>
                <w:szCs w:val="24"/>
              </w:rPr>
            </w:pPr>
            <w:r w:rsidRPr="00AB0BAD">
              <w:rPr>
                <w:rFonts w:ascii="Times New Roman" w:hAnsi="Times New Roman" w:hint="eastAsia"/>
                <w:sz w:val="24"/>
                <w:szCs w:val="24"/>
              </w:rPr>
              <w:t>□其</w:t>
            </w:r>
            <w:r w:rsidR="00D65897" w:rsidRPr="00AB0BAD">
              <w:rPr>
                <w:rFonts w:ascii="Times New Roman" w:hAnsi="Times New Roman" w:hint="eastAsia"/>
                <w:sz w:val="24"/>
                <w:szCs w:val="24"/>
              </w:rPr>
              <w:t>它</w:t>
            </w:r>
          </w:p>
        </w:tc>
      </w:tr>
      <w:tr w:rsidR="00B11C80" w:rsidRPr="002B2F75" w:rsidTr="00B11091">
        <w:trPr>
          <w:trHeight w:val="445"/>
          <w:jc w:val="center"/>
        </w:trPr>
        <w:tc>
          <w:tcPr>
            <w:tcW w:w="3491" w:type="dxa"/>
            <w:vAlign w:val="center"/>
          </w:tcPr>
          <w:p w:rsidR="00B11C80" w:rsidRPr="00AB0BAD" w:rsidRDefault="007F3897" w:rsidP="00185C48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AB0BAD">
              <w:rPr>
                <w:rFonts w:ascii="Times New Roman" w:hAnsi="Times New Roman" w:hint="eastAsia"/>
                <w:sz w:val="24"/>
                <w:szCs w:val="24"/>
              </w:rPr>
              <w:t>BE</w:t>
            </w:r>
            <w:r w:rsidR="00B11C80" w:rsidRPr="00AB0BAD">
              <w:rPr>
                <w:rFonts w:ascii="Times New Roman" w:hAnsi="Times New Roman" w:hint="eastAsia"/>
                <w:sz w:val="24"/>
                <w:szCs w:val="24"/>
              </w:rPr>
              <w:t>供试样品批号</w:t>
            </w:r>
          </w:p>
        </w:tc>
        <w:tc>
          <w:tcPr>
            <w:tcW w:w="5843" w:type="dxa"/>
            <w:vAlign w:val="center"/>
          </w:tcPr>
          <w:p w:rsidR="00B11C80" w:rsidRPr="00AB0BAD" w:rsidRDefault="00AB0BAD" w:rsidP="00F10764">
            <w:pPr>
              <w:rPr>
                <w:rFonts w:ascii="Times New Roman" w:hAnsi="Times New Roman"/>
                <w:sz w:val="24"/>
                <w:szCs w:val="24"/>
              </w:rPr>
            </w:pPr>
            <w:r w:rsidRPr="00AB0BAD">
              <w:rPr>
                <w:rFonts w:ascii="Times New Roman" w:hAnsi="Times New Roman" w:cs="Times New Roman" w:hint="eastAsia"/>
                <w:sz w:val="24"/>
                <w:szCs w:val="24"/>
              </w:rPr>
              <w:t>181008</w:t>
            </w:r>
          </w:p>
        </w:tc>
      </w:tr>
      <w:tr w:rsidR="00B11C80" w:rsidRPr="002B2F75" w:rsidTr="00B11091">
        <w:trPr>
          <w:trHeight w:val="445"/>
          <w:jc w:val="center"/>
        </w:trPr>
        <w:tc>
          <w:tcPr>
            <w:tcW w:w="3491" w:type="dxa"/>
            <w:vAlign w:val="center"/>
          </w:tcPr>
          <w:p w:rsidR="00B11C80" w:rsidRPr="00AE0C3A" w:rsidRDefault="00B11C80" w:rsidP="00185C48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AE0C3A">
              <w:rPr>
                <w:rFonts w:ascii="Times New Roman" w:hAnsi="Times New Roman" w:hint="eastAsia"/>
                <w:sz w:val="24"/>
                <w:szCs w:val="24"/>
              </w:rPr>
              <w:t>检验机构</w:t>
            </w:r>
          </w:p>
        </w:tc>
        <w:tc>
          <w:tcPr>
            <w:tcW w:w="5843" w:type="dxa"/>
            <w:vAlign w:val="center"/>
          </w:tcPr>
          <w:p w:rsidR="00B11C80" w:rsidRPr="00AE0C3A" w:rsidRDefault="00F808FB" w:rsidP="00D91CF3">
            <w:pPr>
              <w:ind w:firstLineChars="100" w:firstLine="240"/>
              <w:rPr>
                <w:rFonts w:ascii="Times New Roman" w:hAnsi="Times New Roman"/>
                <w:sz w:val="24"/>
                <w:szCs w:val="24"/>
              </w:rPr>
            </w:pPr>
            <w:r w:rsidRPr="00AE0C3A"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</w:p>
        </w:tc>
      </w:tr>
      <w:tr w:rsidR="00B11C80" w:rsidRPr="002B2F75" w:rsidTr="00B11091">
        <w:trPr>
          <w:trHeight w:val="445"/>
          <w:jc w:val="center"/>
        </w:trPr>
        <w:tc>
          <w:tcPr>
            <w:tcW w:w="3491" w:type="dxa"/>
            <w:vAlign w:val="center"/>
          </w:tcPr>
          <w:p w:rsidR="00B11C80" w:rsidRPr="00AE0C3A" w:rsidRDefault="00B11C80" w:rsidP="00185C48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bookmarkStart w:id="0" w:name="_GoBack"/>
            <w:bookmarkEnd w:id="0"/>
            <w:r w:rsidRPr="00AE0C3A">
              <w:rPr>
                <w:rFonts w:ascii="Times New Roman" w:hAnsi="Times New Roman" w:hint="eastAsia"/>
                <w:sz w:val="24"/>
                <w:szCs w:val="24"/>
              </w:rPr>
              <w:t>检验结果</w:t>
            </w:r>
          </w:p>
        </w:tc>
        <w:tc>
          <w:tcPr>
            <w:tcW w:w="5843" w:type="dxa"/>
            <w:vAlign w:val="center"/>
          </w:tcPr>
          <w:p w:rsidR="00B11C80" w:rsidRPr="00AE0C3A" w:rsidRDefault="00F808FB" w:rsidP="00D91CF3">
            <w:pPr>
              <w:ind w:firstLineChars="100" w:firstLine="240"/>
              <w:rPr>
                <w:rFonts w:ascii="Times New Roman" w:hAnsi="Times New Roman"/>
                <w:sz w:val="24"/>
                <w:szCs w:val="24"/>
              </w:rPr>
            </w:pPr>
            <w:r w:rsidRPr="00AE0C3A"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</w:p>
        </w:tc>
      </w:tr>
      <w:tr w:rsidR="00B11091" w:rsidRPr="002B2F75" w:rsidTr="00B11091">
        <w:trPr>
          <w:trHeight w:val="674"/>
          <w:jc w:val="center"/>
        </w:trPr>
        <w:tc>
          <w:tcPr>
            <w:tcW w:w="3491" w:type="dxa"/>
            <w:vAlign w:val="center"/>
          </w:tcPr>
          <w:p w:rsidR="00B11091" w:rsidRPr="00D36FA7" w:rsidRDefault="00D65897" w:rsidP="00185C48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D36FA7">
              <w:rPr>
                <w:rFonts w:ascii="Times New Roman" w:hAnsi="Times New Roman" w:hint="eastAsia"/>
                <w:sz w:val="24"/>
                <w:szCs w:val="24"/>
              </w:rPr>
              <w:t>完成的临床研究</w:t>
            </w:r>
            <w:r w:rsidR="00B11091" w:rsidRPr="00D36FA7">
              <w:rPr>
                <w:rFonts w:ascii="Times New Roman" w:hAnsi="Times New Roman" w:hint="eastAsia"/>
                <w:sz w:val="24"/>
                <w:szCs w:val="24"/>
              </w:rPr>
              <w:t>内容</w:t>
            </w:r>
          </w:p>
        </w:tc>
        <w:tc>
          <w:tcPr>
            <w:tcW w:w="5843" w:type="dxa"/>
            <w:vAlign w:val="center"/>
          </w:tcPr>
          <w:p w:rsidR="00B11091" w:rsidRPr="00D36FA7" w:rsidRDefault="00677092" w:rsidP="00677092">
            <w:pPr>
              <w:ind w:firstLineChars="100" w:firstLine="240"/>
              <w:rPr>
                <w:rFonts w:ascii="Times New Roman" w:hAnsi="Times New Roman"/>
                <w:sz w:val="24"/>
                <w:szCs w:val="24"/>
              </w:rPr>
            </w:pPr>
            <w:r w:rsidRPr="00D36FA7">
              <w:rPr>
                <w:rFonts w:ascii="Times New Roman" w:hAnsi="Times New Roman" w:hint="eastAsia"/>
                <w:sz w:val="24"/>
                <w:szCs w:val="24"/>
              </w:rPr>
              <w:t>■</w:t>
            </w:r>
            <w:r w:rsidR="00B11091" w:rsidRPr="00D36FA7">
              <w:rPr>
                <w:rFonts w:ascii="Times New Roman" w:hAnsi="Times New Roman" w:hint="eastAsia"/>
                <w:sz w:val="24"/>
                <w:szCs w:val="24"/>
              </w:rPr>
              <w:t>PK</w:t>
            </w:r>
            <w:r w:rsidR="00D65897" w:rsidRPr="00D36FA7">
              <w:rPr>
                <w:rFonts w:ascii="Times New Roman" w:hAnsi="Times New Roman" w:hint="eastAsia"/>
                <w:sz w:val="24"/>
                <w:szCs w:val="24"/>
              </w:rPr>
              <w:t>终点生物等效性研究</w:t>
            </w:r>
          </w:p>
          <w:p w:rsidR="00B11091" w:rsidRPr="00D36FA7" w:rsidRDefault="00B11091" w:rsidP="008A03A5">
            <w:pPr>
              <w:ind w:firstLineChars="100" w:firstLine="240"/>
              <w:rPr>
                <w:rFonts w:ascii="Times New Roman" w:hAnsi="Times New Roman"/>
                <w:sz w:val="24"/>
                <w:szCs w:val="24"/>
              </w:rPr>
            </w:pPr>
            <w:r w:rsidRPr="00D36FA7">
              <w:rPr>
                <w:rFonts w:ascii="Times New Roman" w:hAnsi="Times New Roman" w:hint="eastAsia"/>
                <w:sz w:val="24"/>
                <w:szCs w:val="24"/>
              </w:rPr>
              <w:t>□</w:t>
            </w:r>
            <w:r w:rsidRPr="00D36FA7">
              <w:rPr>
                <w:rFonts w:ascii="Times New Roman" w:hAnsi="Times New Roman" w:hint="eastAsia"/>
                <w:sz w:val="24"/>
                <w:szCs w:val="24"/>
              </w:rPr>
              <w:t>PD</w:t>
            </w:r>
            <w:r w:rsidRPr="00D36FA7">
              <w:rPr>
                <w:rFonts w:ascii="Times New Roman" w:hAnsi="Times New Roman" w:hint="eastAsia"/>
                <w:sz w:val="24"/>
                <w:szCs w:val="24"/>
              </w:rPr>
              <w:t>终点生物等效性</w:t>
            </w:r>
            <w:r w:rsidR="00D65897" w:rsidRPr="00D36FA7">
              <w:rPr>
                <w:rFonts w:ascii="Times New Roman" w:hAnsi="Times New Roman" w:hint="eastAsia"/>
                <w:sz w:val="24"/>
                <w:szCs w:val="24"/>
              </w:rPr>
              <w:t>研究</w:t>
            </w:r>
          </w:p>
          <w:p w:rsidR="00B11091" w:rsidRPr="00D36FA7" w:rsidRDefault="00B11091" w:rsidP="008A03A5">
            <w:pPr>
              <w:ind w:firstLineChars="100" w:firstLine="240"/>
              <w:rPr>
                <w:rFonts w:ascii="Times New Roman" w:hAnsi="Times New Roman"/>
                <w:sz w:val="24"/>
                <w:szCs w:val="24"/>
              </w:rPr>
            </w:pPr>
            <w:r w:rsidRPr="00D36FA7">
              <w:rPr>
                <w:rFonts w:ascii="Times New Roman" w:hAnsi="Times New Roman" w:hint="eastAsia"/>
                <w:sz w:val="24"/>
                <w:szCs w:val="24"/>
              </w:rPr>
              <w:t>□</w:t>
            </w:r>
            <w:r w:rsidR="00D65897" w:rsidRPr="00D36FA7">
              <w:rPr>
                <w:rFonts w:ascii="Times New Roman" w:hAnsi="Times New Roman" w:hint="eastAsia"/>
                <w:sz w:val="24"/>
                <w:szCs w:val="24"/>
              </w:rPr>
              <w:t>临床研究</w:t>
            </w:r>
          </w:p>
          <w:p w:rsidR="00B11091" w:rsidRPr="00D36FA7" w:rsidRDefault="00D65897" w:rsidP="008A03A5">
            <w:pPr>
              <w:ind w:firstLineChars="100" w:firstLine="240"/>
              <w:rPr>
                <w:rFonts w:ascii="Times New Roman" w:hAnsi="Times New Roman"/>
                <w:sz w:val="24"/>
                <w:szCs w:val="24"/>
              </w:rPr>
            </w:pPr>
            <w:r w:rsidRPr="00D36FA7">
              <w:rPr>
                <w:rFonts w:ascii="Times New Roman" w:hAnsi="Times New Roman" w:hint="eastAsia"/>
                <w:sz w:val="24"/>
                <w:szCs w:val="24"/>
              </w:rPr>
              <w:t>□其它</w:t>
            </w:r>
          </w:p>
        </w:tc>
      </w:tr>
      <w:tr w:rsidR="00B11091" w:rsidRPr="002B2F75" w:rsidTr="008A03A5">
        <w:trPr>
          <w:trHeight w:val="475"/>
          <w:jc w:val="center"/>
        </w:trPr>
        <w:tc>
          <w:tcPr>
            <w:tcW w:w="3491" w:type="dxa"/>
            <w:vAlign w:val="center"/>
          </w:tcPr>
          <w:p w:rsidR="00B11091" w:rsidRPr="00D36FA7" w:rsidRDefault="008134A0" w:rsidP="00185C48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D36FA7">
              <w:rPr>
                <w:rFonts w:ascii="Times New Roman" w:hAnsi="Times New Roman" w:hint="eastAsia"/>
                <w:sz w:val="24"/>
                <w:szCs w:val="24"/>
              </w:rPr>
              <w:t>BE</w:t>
            </w:r>
            <w:r w:rsidRPr="00D36FA7">
              <w:rPr>
                <w:rFonts w:ascii="Times New Roman" w:hAnsi="Times New Roman" w:hint="eastAsia"/>
                <w:sz w:val="24"/>
                <w:szCs w:val="24"/>
              </w:rPr>
              <w:t>备案号</w:t>
            </w:r>
            <w:r w:rsidRPr="00D36FA7">
              <w:rPr>
                <w:rFonts w:ascii="Times New Roman" w:hAnsi="Times New Roman" w:hint="eastAsia"/>
                <w:sz w:val="24"/>
                <w:szCs w:val="24"/>
              </w:rPr>
              <w:t>/</w:t>
            </w:r>
            <w:r w:rsidRPr="00D36FA7">
              <w:rPr>
                <w:rFonts w:ascii="Times New Roman" w:hAnsi="Times New Roman" w:hint="eastAsia"/>
                <w:sz w:val="24"/>
                <w:szCs w:val="24"/>
              </w:rPr>
              <w:t>临床试验批件号</w:t>
            </w:r>
          </w:p>
        </w:tc>
        <w:tc>
          <w:tcPr>
            <w:tcW w:w="5843" w:type="dxa"/>
            <w:vAlign w:val="center"/>
          </w:tcPr>
          <w:p w:rsidR="00B11091" w:rsidRPr="00D36FA7" w:rsidRDefault="00D36FA7" w:rsidP="008134A0">
            <w:pPr>
              <w:rPr>
                <w:rFonts w:ascii="Times New Roman" w:hAnsi="Times New Roman"/>
                <w:sz w:val="24"/>
                <w:szCs w:val="24"/>
              </w:rPr>
            </w:pPr>
            <w:r w:rsidRPr="00D36FA7">
              <w:rPr>
                <w:rFonts w:ascii="Times New Roman" w:hAnsi="Times New Roman" w:cs="Times New Roman" w:hint="eastAsia"/>
                <w:sz w:val="24"/>
                <w:szCs w:val="24"/>
              </w:rPr>
              <w:t>B201800619-01</w:t>
            </w:r>
          </w:p>
        </w:tc>
      </w:tr>
      <w:tr w:rsidR="00B11091" w:rsidRPr="002B2F75" w:rsidTr="008A03A5">
        <w:trPr>
          <w:trHeight w:val="412"/>
          <w:jc w:val="center"/>
        </w:trPr>
        <w:tc>
          <w:tcPr>
            <w:tcW w:w="3491" w:type="dxa"/>
            <w:vAlign w:val="center"/>
          </w:tcPr>
          <w:p w:rsidR="00B11091" w:rsidRPr="00D36FA7" w:rsidRDefault="008134A0" w:rsidP="00185C48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D36FA7">
              <w:rPr>
                <w:rFonts w:ascii="Times New Roman" w:hAnsi="Times New Roman" w:hint="eastAsia"/>
                <w:sz w:val="24"/>
                <w:szCs w:val="24"/>
              </w:rPr>
              <w:t>临床</w:t>
            </w:r>
            <w:r w:rsidR="00B11091" w:rsidRPr="00D36FA7">
              <w:rPr>
                <w:rFonts w:ascii="Times New Roman" w:hAnsi="Times New Roman" w:hint="eastAsia"/>
                <w:sz w:val="24"/>
                <w:szCs w:val="24"/>
              </w:rPr>
              <w:t>研究机构</w:t>
            </w:r>
          </w:p>
        </w:tc>
        <w:tc>
          <w:tcPr>
            <w:tcW w:w="5843" w:type="dxa"/>
            <w:vAlign w:val="center"/>
          </w:tcPr>
          <w:p w:rsidR="00B11091" w:rsidRPr="00D36FA7" w:rsidRDefault="00D36FA7" w:rsidP="00F10764">
            <w:pPr>
              <w:rPr>
                <w:rFonts w:ascii="Times New Roman" w:hAnsi="Times New Roman"/>
                <w:sz w:val="24"/>
                <w:szCs w:val="24"/>
              </w:rPr>
            </w:pPr>
            <w:r w:rsidRPr="00D36FA7">
              <w:rPr>
                <w:rFonts w:ascii="Times New Roman" w:hAnsi="Times New Roman" w:hint="eastAsia"/>
                <w:sz w:val="24"/>
                <w:szCs w:val="24"/>
              </w:rPr>
              <w:t>广州市番禺区中心医院</w:t>
            </w:r>
          </w:p>
        </w:tc>
      </w:tr>
      <w:tr w:rsidR="00B11091" w:rsidRPr="002B2F75" w:rsidTr="00DE2F8D">
        <w:trPr>
          <w:trHeight w:val="389"/>
          <w:jc w:val="center"/>
        </w:trPr>
        <w:tc>
          <w:tcPr>
            <w:tcW w:w="3491" w:type="dxa"/>
            <w:vAlign w:val="center"/>
          </w:tcPr>
          <w:p w:rsidR="00B11091" w:rsidRPr="00D36FA7" w:rsidRDefault="008134A0" w:rsidP="00185C48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D36FA7">
              <w:rPr>
                <w:rFonts w:ascii="Times New Roman" w:hAnsi="Times New Roman" w:hint="eastAsia"/>
                <w:sz w:val="24"/>
                <w:szCs w:val="24"/>
              </w:rPr>
              <w:t>数据</w:t>
            </w:r>
            <w:r w:rsidR="00B11091" w:rsidRPr="00D36FA7">
              <w:rPr>
                <w:rFonts w:ascii="Times New Roman" w:hAnsi="Times New Roman" w:hint="eastAsia"/>
                <w:sz w:val="24"/>
                <w:szCs w:val="24"/>
              </w:rPr>
              <w:t>统计</w:t>
            </w:r>
            <w:r w:rsidRPr="00D36FA7">
              <w:rPr>
                <w:rFonts w:ascii="Times New Roman" w:hAnsi="Times New Roman" w:hint="eastAsia"/>
                <w:sz w:val="24"/>
                <w:szCs w:val="24"/>
              </w:rPr>
              <w:t>分析</w:t>
            </w:r>
            <w:r w:rsidR="00B11091" w:rsidRPr="00D36FA7">
              <w:rPr>
                <w:rFonts w:ascii="Times New Roman" w:hAnsi="Times New Roman" w:hint="eastAsia"/>
                <w:sz w:val="24"/>
                <w:szCs w:val="24"/>
              </w:rPr>
              <w:t>机构</w:t>
            </w:r>
          </w:p>
        </w:tc>
        <w:tc>
          <w:tcPr>
            <w:tcW w:w="5843" w:type="dxa"/>
            <w:vAlign w:val="center"/>
          </w:tcPr>
          <w:p w:rsidR="00B11091" w:rsidRPr="00D36FA7" w:rsidRDefault="00D36FA7" w:rsidP="00DE2F8D">
            <w:pPr>
              <w:rPr>
                <w:rFonts w:ascii="Times New Roman" w:hAnsi="Times New Roman"/>
                <w:sz w:val="24"/>
                <w:szCs w:val="24"/>
              </w:rPr>
            </w:pPr>
            <w:r w:rsidRPr="00D36FA7">
              <w:rPr>
                <w:rFonts w:ascii="Times New Roman" w:hAnsi="Times New Roman" w:hint="eastAsia"/>
                <w:sz w:val="24"/>
                <w:szCs w:val="24"/>
              </w:rPr>
              <w:t>北京凯普顿医药科技开发有限公司</w:t>
            </w:r>
          </w:p>
        </w:tc>
      </w:tr>
      <w:tr w:rsidR="00B11091" w:rsidRPr="002B2F75" w:rsidTr="008A03A5">
        <w:trPr>
          <w:trHeight w:val="428"/>
          <w:jc w:val="center"/>
        </w:trPr>
        <w:tc>
          <w:tcPr>
            <w:tcW w:w="3491" w:type="dxa"/>
            <w:vAlign w:val="center"/>
          </w:tcPr>
          <w:p w:rsidR="00B11091" w:rsidRPr="00D36FA7" w:rsidRDefault="008134A0" w:rsidP="00185C48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D36FA7">
              <w:rPr>
                <w:rFonts w:ascii="Times New Roman" w:hAnsi="Times New Roman" w:hint="eastAsia"/>
                <w:sz w:val="24"/>
                <w:szCs w:val="24"/>
              </w:rPr>
              <w:t>生物样本</w:t>
            </w:r>
            <w:r w:rsidR="00B11091" w:rsidRPr="00D36FA7">
              <w:rPr>
                <w:rFonts w:ascii="Times New Roman" w:hAnsi="Times New Roman" w:hint="eastAsia"/>
                <w:sz w:val="24"/>
                <w:szCs w:val="24"/>
              </w:rPr>
              <w:t>检测机构</w:t>
            </w:r>
          </w:p>
        </w:tc>
        <w:tc>
          <w:tcPr>
            <w:tcW w:w="5843" w:type="dxa"/>
            <w:vAlign w:val="center"/>
          </w:tcPr>
          <w:p w:rsidR="00B11091" w:rsidRPr="00D36FA7" w:rsidRDefault="00D36FA7" w:rsidP="00F10764">
            <w:pPr>
              <w:rPr>
                <w:rFonts w:ascii="Times New Roman" w:hAnsi="Times New Roman"/>
                <w:sz w:val="24"/>
                <w:szCs w:val="24"/>
              </w:rPr>
            </w:pPr>
            <w:r w:rsidRPr="00D36FA7">
              <w:rPr>
                <w:rFonts w:ascii="Times New Roman" w:hAnsi="Times New Roman" w:hint="eastAsia"/>
                <w:sz w:val="24"/>
                <w:szCs w:val="24"/>
              </w:rPr>
              <w:t>武汉宏韧生物医药科技有限公司</w:t>
            </w:r>
          </w:p>
        </w:tc>
      </w:tr>
      <w:tr w:rsidR="00635EF5" w:rsidRPr="002B2F75" w:rsidTr="008A03A5">
        <w:trPr>
          <w:trHeight w:val="406"/>
          <w:jc w:val="center"/>
        </w:trPr>
        <w:tc>
          <w:tcPr>
            <w:tcW w:w="3491" w:type="dxa"/>
            <w:vAlign w:val="center"/>
          </w:tcPr>
          <w:p w:rsidR="00635EF5" w:rsidRPr="00D36FA7" w:rsidRDefault="008134A0" w:rsidP="008134A0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D36FA7">
              <w:rPr>
                <w:rFonts w:ascii="Times New Roman" w:hAnsi="Times New Roman" w:hint="eastAsia"/>
                <w:sz w:val="24"/>
                <w:szCs w:val="24"/>
              </w:rPr>
              <w:t>试验设计</w:t>
            </w:r>
          </w:p>
        </w:tc>
        <w:tc>
          <w:tcPr>
            <w:tcW w:w="5843" w:type="dxa"/>
            <w:vAlign w:val="center"/>
          </w:tcPr>
          <w:p w:rsidR="00970D44" w:rsidRPr="00D36FA7" w:rsidRDefault="00D36FA7" w:rsidP="00DE2F8D">
            <w:pPr>
              <w:rPr>
                <w:rFonts w:ascii="Times New Roman" w:hAnsi="Times New Roman"/>
                <w:sz w:val="24"/>
                <w:szCs w:val="24"/>
              </w:rPr>
            </w:pPr>
            <w:r w:rsidRPr="00D36FA7">
              <w:rPr>
                <w:rFonts w:ascii="Times New Roman" w:hAnsi="Times New Roman" w:hint="eastAsia"/>
                <w:sz w:val="24"/>
                <w:szCs w:val="24"/>
              </w:rPr>
              <w:t>盐酸二甲双</w:t>
            </w:r>
            <w:proofErr w:type="gramStart"/>
            <w:r w:rsidRPr="00D36FA7">
              <w:rPr>
                <w:rFonts w:ascii="Times New Roman" w:hAnsi="Times New Roman" w:hint="eastAsia"/>
                <w:sz w:val="24"/>
                <w:szCs w:val="24"/>
              </w:rPr>
              <w:t>胍</w:t>
            </w:r>
            <w:proofErr w:type="gramEnd"/>
            <w:r w:rsidRPr="00D36FA7">
              <w:rPr>
                <w:rFonts w:ascii="Times New Roman" w:hAnsi="Times New Roman" w:hint="eastAsia"/>
                <w:sz w:val="24"/>
                <w:szCs w:val="24"/>
              </w:rPr>
              <w:t>缓释片在健康受试者中随机、开放、单剂量、两制剂、两序列、两周期交叉空腹</w:t>
            </w:r>
            <w:r w:rsidRPr="00D36FA7">
              <w:rPr>
                <w:rFonts w:ascii="Times New Roman" w:hAnsi="Times New Roman" w:hint="eastAsia"/>
                <w:sz w:val="24"/>
                <w:szCs w:val="24"/>
              </w:rPr>
              <w:t>/</w:t>
            </w:r>
            <w:r w:rsidRPr="00D36FA7">
              <w:rPr>
                <w:rFonts w:ascii="Times New Roman" w:hAnsi="Times New Roman" w:hint="eastAsia"/>
                <w:sz w:val="24"/>
                <w:szCs w:val="24"/>
              </w:rPr>
              <w:t>餐后状态下的生物等效性试验</w:t>
            </w:r>
          </w:p>
        </w:tc>
      </w:tr>
      <w:tr w:rsidR="008134A0" w:rsidRPr="002B2F75" w:rsidTr="008A03A5">
        <w:trPr>
          <w:trHeight w:val="515"/>
          <w:jc w:val="center"/>
        </w:trPr>
        <w:tc>
          <w:tcPr>
            <w:tcW w:w="3491" w:type="dxa"/>
            <w:vAlign w:val="center"/>
          </w:tcPr>
          <w:p w:rsidR="008134A0" w:rsidRPr="00D36FA7" w:rsidRDefault="008134A0" w:rsidP="00185C48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D36FA7">
              <w:rPr>
                <w:rFonts w:ascii="Times New Roman" w:hAnsi="Times New Roman" w:hint="eastAsia"/>
                <w:sz w:val="24"/>
                <w:szCs w:val="24"/>
              </w:rPr>
              <w:t>检测物质</w:t>
            </w:r>
          </w:p>
        </w:tc>
        <w:tc>
          <w:tcPr>
            <w:tcW w:w="5843" w:type="dxa"/>
            <w:vAlign w:val="center"/>
          </w:tcPr>
          <w:p w:rsidR="008134A0" w:rsidRPr="00D36FA7" w:rsidRDefault="00DE2F8D" w:rsidP="004B4D21">
            <w:pPr>
              <w:rPr>
                <w:rFonts w:ascii="Times New Roman" w:hAnsi="Times New Roman"/>
                <w:sz w:val="24"/>
                <w:szCs w:val="24"/>
              </w:rPr>
            </w:pPr>
            <w:r w:rsidRPr="00D36FA7">
              <w:rPr>
                <w:rFonts w:ascii="Times New Roman" w:hAnsi="Times New Roman" w:hint="eastAsia"/>
                <w:sz w:val="24"/>
                <w:szCs w:val="24"/>
              </w:rPr>
              <w:t>二甲双</w:t>
            </w:r>
            <w:proofErr w:type="gramStart"/>
            <w:r w:rsidRPr="00D36FA7">
              <w:rPr>
                <w:rFonts w:ascii="Times New Roman" w:hAnsi="Times New Roman" w:hint="eastAsia"/>
                <w:sz w:val="24"/>
                <w:szCs w:val="24"/>
              </w:rPr>
              <w:t>胍</w:t>
            </w:r>
            <w:proofErr w:type="gramEnd"/>
          </w:p>
        </w:tc>
      </w:tr>
      <w:tr w:rsidR="0066279A" w:rsidRPr="002B2F75" w:rsidTr="00B11091">
        <w:trPr>
          <w:trHeight w:val="674"/>
          <w:jc w:val="center"/>
        </w:trPr>
        <w:tc>
          <w:tcPr>
            <w:tcW w:w="3491" w:type="dxa"/>
            <w:vAlign w:val="center"/>
          </w:tcPr>
          <w:p w:rsidR="0066279A" w:rsidRPr="00D36FA7" w:rsidRDefault="0066279A" w:rsidP="00185C48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D36FA7">
              <w:rPr>
                <w:rFonts w:ascii="Times New Roman" w:hAnsi="Times New Roman" w:hint="eastAsia"/>
                <w:sz w:val="24"/>
                <w:szCs w:val="24"/>
              </w:rPr>
              <w:t>检测方法</w:t>
            </w:r>
          </w:p>
        </w:tc>
        <w:tc>
          <w:tcPr>
            <w:tcW w:w="5843" w:type="dxa"/>
            <w:vAlign w:val="center"/>
          </w:tcPr>
          <w:p w:rsidR="0066279A" w:rsidRPr="00D36FA7" w:rsidRDefault="0066279A" w:rsidP="004B4D21">
            <w:pPr>
              <w:rPr>
                <w:rFonts w:ascii="Times New Roman" w:hAnsi="Times New Roman"/>
                <w:sz w:val="24"/>
                <w:szCs w:val="24"/>
              </w:rPr>
            </w:pPr>
            <w:r w:rsidRPr="00D36FA7">
              <w:rPr>
                <w:rFonts w:ascii="Times New Roman" w:hAnsi="Times New Roman" w:hint="eastAsia"/>
                <w:sz w:val="24"/>
                <w:szCs w:val="24"/>
              </w:rPr>
              <w:t>LC-MS/MS</w:t>
            </w:r>
            <w:r w:rsidR="00057A00" w:rsidRPr="00D36FA7">
              <w:rPr>
                <w:rFonts w:ascii="Times New Roman" w:hAnsi="Times New Roman" w:hint="eastAsia"/>
                <w:sz w:val="24"/>
                <w:szCs w:val="24"/>
              </w:rPr>
              <w:t>法</w:t>
            </w:r>
          </w:p>
        </w:tc>
      </w:tr>
      <w:tr w:rsidR="00505583" w:rsidRPr="00D36FA7" w:rsidTr="008A03A5">
        <w:trPr>
          <w:trHeight w:val="420"/>
          <w:jc w:val="center"/>
        </w:trPr>
        <w:tc>
          <w:tcPr>
            <w:tcW w:w="3491" w:type="dxa"/>
            <w:vAlign w:val="center"/>
          </w:tcPr>
          <w:p w:rsidR="00505583" w:rsidRPr="00D36FA7" w:rsidRDefault="00587924" w:rsidP="00185C48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D36FA7">
              <w:rPr>
                <w:rFonts w:ascii="Times New Roman" w:hAnsi="Times New Roman" w:hint="eastAsia"/>
                <w:sz w:val="24"/>
                <w:szCs w:val="24"/>
              </w:rPr>
              <w:lastRenderedPageBreak/>
              <w:t>临床</w:t>
            </w:r>
            <w:r w:rsidRPr="00D36FA7">
              <w:rPr>
                <w:rFonts w:ascii="Times New Roman" w:hAnsi="Times New Roman"/>
                <w:sz w:val="24"/>
                <w:szCs w:val="24"/>
              </w:rPr>
              <w:t>研究</w:t>
            </w:r>
            <w:r w:rsidRPr="00D36FA7">
              <w:rPr>
                <w:rFonts w:ascii="Times New Roman" w:hAnsi="Times New Roman" w:hint="eastAsia"/>
                <w:sz w:val="24"/>
                <w:szCs w:val="24"/>
              </w:rPr>
              <w:t>豁免</w:t>
            </w:r>
            <w:r w:rsidRPr="00D36FA7">
              <w:rPr>
                <w:rFonts w:ascii="Times New Roman" w:hAnsi="Times New Roman"/>
                <w:sz w:val="24"/>
                <w:szCs w:val="24"/>
              </w:rPr>
              <w:t>情况</w:t>
            </w:r>
          </w:p>
        </w:tc>
        <w:tc>
          <w:tcPr>
            <w:tcW w:w="5843" w:type="dxa"/>
            <w:vAlign w:val="center"/>
          </w:tcPr>
          <w:p w:rsidR="00505583" w:rsidRPr="00D36FA7" w:rsidRDefault="00DE2F8D" w:rsidP="00CA471F">
            <w:pPr>
              <w:rPr>
                <w:rFonts w:ascii="Times New Roman" w:hAnsi="Times New Roman"/>
                <w:sz w:val="24"/>
                <w:szCs w:val="24"/>
              </w:rPr>
            </w:pPr>
            <w:r w:rsidRPr="00D36FA7"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</w:p>
        </w:tc>
      </w:tr>
    </w:tbl>
    <w:p w:rsidR="00B11091" w:rsidRPr="00D36FA7" w:rsidRDefault="00825632" w:rsidP="00587924">
      <w:pPr>
        <w:spacing w:line="360" w:lineRule="auto"/>
        <w:rPr>
          <w:rFonts w:ascii="Times New Roman" w:hAnsi="Times New Roman"/>
          <w:sz w:val="24"/>
          <w:szCs w:val="24"/>
        </w:rPr>
      </w:pPr>
      <w:r w:rsidRPr="00D36FA7">
        <w:rPr>
          <w:rFonts w:ascii="Times New Roman" w:hAnsi="Times New Roman" w:hint="eastAsia"/>
          <w:b/>
          <w:sz w:val="24"/>
          <w:szCs w:val="24"/>
        </w:rPr>
        <w:t>2.</w:t>
      </w:r>
      <w:r w:rsidRPr="00D36FA7">
        <w:rPr>
          <w:rFonts w:ascii="Times New Roman" w:hAnsi="Times New Roman" w:hint="eastAsia"/>
          <w:b/>
          <w:sz w:val="24"/>
          <w:szCs w:val="24"/>
        </w:rPr>
        <w:t>生物等效性</w:t>
      </w:r>
      <w:r w:rsidR="005D604A" w:rsidRPr="00D36FA7">
        <w:rPr>
          <w:rFonts w:ascii="Times New Roman" w:hAnsi="Times New Roman" w:hint="eastAsia"/>
          <w:b/>
          <w:sz w:val="24"/>
          <w:szCs w:val="24"/>
        </w:rPr>
        <w:t>研究</w:t>
      </w:r>
      <w:r w:rsidR="00B11091" w:rsidRPr="00D36FA7">
        <w:rPr>
          <w:rFonts w:ascii="Times New Roman" w:hAnsi="Times New Roman" w:hint="eastAsia"/>
          <w:b/>
          <w:sz w:val="24"/>
          <w:szCs w:val="24"/>
        </w:rPr>
        <w:t>结果</w:t>
      </w:r>
      <w:r w:rsidR="00587924" w:rsidRPr="00D36FA7">
        <w:rPr>
          <w:rFonts w:ascii="Times New Roman" w:hAnsi="Times New Roman" w:hint="eastAsia"/>
          <w:sz w:val="24"/>
          <w:szCs w:val="24"/>
        </w:rPr>
        <w:t>（</w:t>
      </w:r>
      <w:r w:rsidR="00DE2F8D" w:rsidRPr="00D36FA7">
        <w:rPr>
          <w:rFonts w:ascii="Times New Roman" w:hAnsi="Times New Roman"/>
          <w:sz w:val="24"/>
          <w:szCs w:val="24"/>
        </w:rPr>
        <w:t>0.5</w:t>
      </w:r>
      <w:r w:rsidR="006E68C9" w:rsidRPr="00D36FA7">
        <w:rPr>
          <w:rFonts w:ascii="Times New Roman" w:hAnsi="Times New Roman" w:hint="eastAsia"/>
          <w:sz w:val="24"/>
          <w:szCs w:val="24"/>
        </w:rPr>
        <w:t>g</w:t>
      </w:r>
      <w:r w:rsidR="006E68C9" w:rsidRPr="00D36FA7">
        <w:rPr>
          <w:rFonts w:ascii="Times New Roman" w:hAnsi="Times New Roman" w:hint="eastAsia"/>
          <w:sz w:val="24"/>
          <w:szCs w:val="24"/>
        </w:rPr>
        <w:t>规格</w:t>
      </w:r>
      <w:r w:rsidR="00587924" w:rsidRPr="00D36FA7">
        <w:rPr>
          <w:rFonts w:ascii="Times New Roman" w:hAnsi="Times New Roman" w:hint="eastAsia"/>
          <w:sz w:val="24"/>
          <w:szCs w:val="24"/>
        </w:rPr>
        <w:t>）</w:t>
      </w:r>
    </w:p>
    <w:tbl>
      <w:tblPr>
        <w:tblStyle w:val="a7"/>
        <w:tblW w:w="4866" w:type="pct"/>
        <w:jc w:val="center"/>
        <w:tblLook w:val="04A0" w:firstRow="1" w:lastRow="0" w:firstColumn="1" w:lastColumn="0" w:noHBand="0" w:noVBand="1"/>
      </w:tblPr>
      <w:tblGrid>
        <w:gridCol w:w="1073"/>
        <w:gridCol w:w="1615"/>
        <w:gridCol w:w="1109"/>
        <w:gridCol w:w="1109"/>
        <w:gridCol w:w="1138"/>
        <w:gridCol w:w="2030"/>
      </w:tblGrid>
      <w:tr w:rsidR="00641826" w:rsidRPr="002B2F75" w:rsidTr="00587F9A">
        <w:trPr>
          <w:trHeight w:val="426"/>
          <w:jc w:val="center"/>
        </w:trPr>
        <w:tc>
          <w:tcPr>
            <w:tcW w:w="664" w:type="pct"/>
            <w:vMerge w:val="restart"/>
            <w:vAlign w:val="center"/>
          </w:tcPr>
          <w:p w:rsidR="00641826" w:rsidRPr="00587F9A" w:rsidRDefault="00641826" w:rsidP="00641826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587F9A">
              <w:rPr>
                <w:rFonts w:ascii="Times New Roman" w:eastAsiaTheme="minorEastAsia" w:hAnsi="Times New Roman"/>
                <w:sz w:val="21"/>
                <w:szCs w:val="21"/>
              </w:rPr>
              <w:t>空腹</w:t>
            </w:r>
          </w:p>
          <w:p w:rsidR="00641826" w:rsidRPr="00587F9A" w:rsidRDefault="00641826" w:rsidP="00641826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587F9A">
              <w:rPr>
                <w:rFonts w:ascii="Times New Roman" w:eastAsiaTheme="minorEastAsia" w:hAnsi="Times New Roman"/>
                <w:sz w:val="21"/>
                <w:szCs w:val="21"/>
              </w:rPr>
              <w:t>BE</w:t>
            </w:r>
          </w:p>
          <w:p w:rsidR="00641826" w:rsidRPr="00587F9A" w:rsidRDefault="00641826" w:rsidP="00587F9A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587F9A">
              <w:rPr>
                <w:rFonts w:ascii="Times New Roman" w:eastAsiaTheme="minorEastAsia" w:hAnsi="Times New Roman" w:hint="eastAsia"/>
                <w:sz w:val="21"/>
                <w:szCs w:val="21"/>
              </w:rPr>
              <w:t>（</w:t>
            </w:r>
            <w:r w:rsidRPr="00587F9A">
              <w:rPr>
                <w:rFonts w:ascii="Times New Roman" w:eastAsiaTheme="minorEastAsia" w:hAnsi="Times New Roman" w:hint="eastAsia"/>
                <w:sz w:val="21"/>
                <w:szCs w:val="21"/>
              </w:rPr>
              <w:t>n=</w:t>
            </w:r>
            <w:r w:rsidR="00587F9A" w:rsidRPr="00587F9A">
              <w:rPr>
                <w:rFonts w:ascii="Times New Roman" w:eastAsiaTheme="minorEastAsia" w:hAnsi="Times New Roman"/>
                <w:sz w:val="21"/>
                <w:szCs w:val="21"/>
              </w:rPr>
              <w:t>4</w:t>
            </w:r>
            <w:r w:rsidR="004216CD" w:rsidRPr="00587F9A">
              <w:rPr>
                <w:rFonts w:ascii="Times New Roman" w:eastAsiaTheme="minorEastAsia" w:hAnsi="Times New Roman"/>
                <w:sz w:val="21"/>
                <w:szCs w:val="21"/>
              </w:rPr>
              <w:t>2</w:t>
            </w:r>
            <w:r w:rsidRPr="00587F9A">
              <w:rPr>
                <w:rFonts w:ascii="Times New Roman" w:eastAsiaTheme="minorEastAsia" w:hAnsi="Times New Roman" w:hint="eastAsia"/>
                <w:sz w:val="21"/>
                <w:szCs w:val="21"/>
              </w:rPr>
              <w:t>）</w:t>
            </w:r>
          </w:p>
        </w:tc>
        <w:tc>
          <w:tcPr>
            <w:tcW w:w="1000" w:type="pct"/>
            <w:vMerge w:val="restart"/>
            <w:vAlign w:val="center"/>
          </w:tcPr>
          <w:p w:rsidR="00641826" w:rsidRPr="00587F9A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587F9A">
              <w:rPr>
                <w:rFonts w:ascii="Times New Roman" w:eastAsiaTheme="minorEastAsia" w:hAnsi="Times New Roman"/>
                <w:sz w:val="21"/>
                <w:szCs w:val="21"/>
              </w:rPr>
              <w:t>参数</w:t>
            </w:r>
          </w:p>
        </w:tc>
        <w:tc>
          <w:tcPr>
            <w:tcW w:w="2078" w:type="pct"/>
            <w:gridSpan w:val="3"/>
            <w:vAlign w:val="center"/>
          </w:tcPr>
          <w:p w:rsidR="00641826" w:rsidRPr="00587F9A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587F9A">
              <w:rPr>
                <w:rFonts w:ascii="Times New Roman" w:eastAsiaTheme="minorEastAsia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1257" w:type="pct"/>
            <w:vMerge w:val="restart"/>
            <w:vAlign w:val="center"/>
          </w:tcPr>
          <w:p w:rsidR="00641826" w:rsidRPr="00587F9A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587F9A">
              <w:rPr>
                <w:rFonts w:ascii="Times New Roman" w:eastAsiaTheme="minorEastAsia" w:hAnsi="Times New Roman"/>
                <w:sz w:val="21"/>
                <w:szCs w:val="21"/>
              </w:rPr>
              <w:t>90%CI</w:t>
            </w:r>
          </w:p>
        </w:tc>
      </w:tr>
      <w:tr w:rsidR="00641826" w:rsidRPr="002B2F75" w:rsidTr="00587F9A">
        <w:trPr>
          <w:trHeight w:val="426"/>
          <w:jc w:val="center"/>
        </w:trPr>
        <w:tc>
          <w:tcPr>
            <w:tcW w:w="664" w:type="pct"/>
            <w:vMerge/>
          </w:tcPr>
          <w:p w:rsidR="00641826" w:rsidRPr="00587F9A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000" w:type="pct"/>
            <w:vMerge/>
            <w:vAlign w:val="center"/>
          </w:tcPr>
          <w:p w:rsidR="00641826" w:rsidRPr="00587F9A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687" w:type="pct"/>
            <w:vAlign w:val="center"/>
          </w:tcPr>
          <w:p w:rsidR="00641826" w:rsidRPr="00587F9A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587F9A">
              <w:rPr>
                <w:rFonts w:ascii="Times New Roman" w:eastAsiaTheme="minorEastAsia" w:hAnsi="Times New Roman"/>
                <w:sz w:val="21"/>
                <w:szCs w:val="21"/>
              </w:rPr>
              <w:t>T</w:t>
            </w:r>
          </w:p>
        </w:tc>
        <w:tc>
          <w:tcPr>
            <w:tcW w:w="687" w:type="pct"/>
            <w:vAlign w:val="center"/>
          </w:tcPr>
          <w:p w:rsidR="00641826" w:rsidRPr="00587F9A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587F9A">
              <w:rPr>
                <w:rFonts w:ascii="Times New Roman" w:eastAsiaTheme="minorEastAsia" w:hAnsi="Times New Roman"/>
                <w:sz w:val="21"/>
                <w:szCs w:val="21"/>
              </w:rPr>
              <w:t>R</w:t>
            </w:r>
          </w:p>
        </w:tc>
        <w:tc>
          <w:tcPr>
            <w:tcW w:w="705" w:type="pct"/>
            <w:vAlign w:val="center"/>
          </w:tcPr>
          <w:p w:rsidR="00641826" w:rsidRPr="00587F9A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587F9A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587F9A">
              <w:rPr>
                <w:rFonts w:ascii="Times New Roman" w:eastAsiaTheme="minorEastAsia" w:hAnsi="Times New Roman"/>
                <w:sz w:val="21"/>
                <w:szCs w:val="21"/>
              </w:rPr>
              <w:t>T/R</w:t>
            </w:r>
            <w:r w:rsidRPr="00587F9A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  <w:r w:rsidRPr="00587F9A">
              <w:rPr>
                <w:rFonts w:ascii="Times New Roman" w:eastAsiaTheme="minorEastAsia" w:hAnsi="Times New Roman"/>
                <w:sz w:val="21"/>
                <w:szCs w:val="21"/>
              </w:rPr>
              <w:t>%</w:t>
            </w:r>
          </w:p>
        </w:tc>
        <w:tc>
          <w:tcPr>
            <w:tcW w:w="1257" w:type="pct"/>
            <w:vMerge/>
            <w:vAlign w:val="center"/>
          </w:tcPr>
          <w:p w:rsidR="00641826" w:rsidRPr="00587F9A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</w:tr>
      <w:tr w:rsidR="00587F9A" w:rsidRPr="002B2F75" w:rsidTr="00587F9A">
        <w:trPr>
          <w:trHeight w:val="457"/>
          <w:jc w:val="center"/>
        </w:trPr>
        <w:tc>
          <w:tcPr>
            <w:tcW w:w="664" w:type="pct"/>
            <w:vMerge/>
          </w:tcPr>
          <w:p w:rsidR="00587F9A" w:rsidRPr="00587F9A" w:rsidRDefault="00587F9A" w:rsidP="00587F9A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000" w:type="pct"/>
            <w:vAlign w:val="center"/>
          </w:tcPr>
          <w:p w:rsidR="00587F9A" w:rsidRPr="00587F9A" w:rsidRDefault="00587F9A" w:rsidP="00587F9A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proofErr w:type="spellStart"/>
            <w:r w:rsidRPr="00587F9A">
              <w:rPr>
                <w:rFonts w:ascii="Times New Roman" w:eastAsiaTheme="minorEastAsia" w:hAnsi="Times New Roman"/>
                <w:sz w:val="21"/>
                <w:szCs w:val="21"/>
              </w:rPr>
              <w:t>C</w:t>
            </w:r>
            <w:r w:rsidRPr="00587F9A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max</w:t>
            </w:r>
            <w:proofErr w:type="spellEnd"/>
            <w:r w:rsidRPr="00587F9A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587F9A">
              <w:rPr>
                <w:rFonts w:ascii="Times New Roman" w:eastAsiaTheme="minorEastAsia" w:hAnsi="Times New Roman"/>
                <w:sz w:val="21"/>
                <w:szCs w:val="21"/>
              </w:rPr>
              <w:t>ng/mL</w:t>
            </w:r>
            <w:r w:rsidRPr="00587F9A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87" w:type="pct"/>
            <w:vAlign w:val="center"/>
          </w:tcPr>
          <w:p w:rsidR="00587F9A" w:rsidRPr="00587F9A" w:rsidRDefault="00587F9A" w:rsidP="00587F9A">
            <w:pPr>
              <w:adjustRightInd w:val="0"/>
              <w:spacing w:before="19" w:after="19"/>
              <w:jc w:val="center"/>
              <w:rPr>
                <w:sz w:val="21"/>
                <w:szCs w:val="21"/>
                <w:lang w:bidi="ar"/>
              </w:rPr>
            </w:pPr>
            <w:r w:rsidRPr="00587F9A">
              <w:rPr>
                <w:sz w:val="21"/>
                <w:szCs w:val="21"/>
                <w:lang w:bidi="ar"/>
              </w:rPr>
              <w:t>755.113</w:t>
            </w:r>
          </w:p>
        </w:tc>
        <w:tc>
          <w:tcPr>
            <w:tcW w:w="687" w:type="pct"/>
            <w:vAlign w:val="center"/>
          </w:tcPr>
          <w:p w:rsidR="00587F9A" w:rsidRPr="00587F9A" w:rsidRDefault="00587F9A" w:rsidP="00587F9A">
            <w:pPr>
              <w:adjustRightInd w:val="0"/>
              <w:spacing w:before="19" w:after="19"/>
              <w:jc w:val="center"/>
              <w:rPr>
                <w:sz w:val="21"/>
                <w:szCs w:val="21"/>
                <w:lang w:bidi="ar"/>
              </w:rPr>
            </w:pPr>
            <w:r w:rsidRPr="00587F9A">
              <w:rPr>
                <w:sz w:val="21"/>
                <w:szCs w:val="21"/>
                <w:lang w:bidi="ar"/>
              </w:rPr>
              <w:t>732.448</w:t>
            </w:r>
          </w:p>
        </w:tc>
        <w:tc>
          <w:tcPr>
            <w:tcW w:w="705" w:type="pct"/>
            <w:vAlign w:val="center"/>
          </w:tcPr>
          <w:p w:rsidR="00587F9A" w:rsidRPr="00587F9A" w:rsidRDefault="00587F9A" w:rsidP="00587F9A">
            <w:pPr>
              <w:adjustRightInd w:val="0"/>
              <w:spacing w:before="19" w:after="19"/>
              <w:jc w:val="center"/>
              <w:rPr>
                <w:sz w:val="21"/>
                <w:szCs w:val="21"/>
                <w:lang w:bidi="ar"/>
              </w:rPr>
            </w:pPr>
            <w:r w:rsidRPr="00587F9A">
              <w:rPr>
                <w:sz w:val="21"/>
                <w:szCs w:val="21"/>
                <w:lang w:bidi="ar"/>
              </w:rPr>
              <w:t>103.09</w:t>
            </w:r>
          </w:p>
        </w:tc>
        <w:tc>
          <w:tcPr>
            <w:tcW w:w="1257" w:type="pct"/>
            <w:vAlign w:val="center"/>
          </w:tcPr>
          <w:p w:rsidR="00587F9A" w:rsidRPr="00587F9A" w:rsidRDefault="00587F9A" w:rsidP="00587F9A">
            <w:pPr>
              <w:adjustRightInd w:val="0"/>
              <w:spacing w:before="19" w:after="19"/>
              <w:jc w:val="center"/>
              <w:rPr>
                <w:sz w:val="21"/>
                <w:szCs w:val="21"/>
                <w:lang w:bidi="ar"/>
              </w:rPr>
            </w:pPr>
            <w:r w:rsidRPr="00587F9A">
              <w:rPr>
                <w:sz w:val="21"/>
                <w:szCs w:val="21"/>
                <w:lang w:bidi="ar"/>
              </w:rPr>
              <w:t>96.22%~110.46</w:t>
            </w:r>
            <w:r w:rsidRPr="00587F9A">
              <w:rPr>
                <w:sz w:val="21"/>
                <w:szCs w:val="21"/>
                <w:lang w:bidi="ar"/>
              </w:rPr>
              <w:t>%</w:t>
            </w:r>
          </w:p>
        </w:tc>
      </w:tr>
      <w:tr w:rsidR="00587F9A" w:rsidRPr="002B2F75" w:rsidTr="00587F9A">
        <w:trPr>
          <w:trHeight w:val="488"/>
          <w:jc w:val="center"/>
        </w:trPr>
        <w:tc>
          <w:tcPr>
            <w:tcW w:w="664" w:type="pct"/>
            <w:vMerge/>
          </w:tcPr>
          <w:p w:rsidR="00587F9A" w:rsidRPr="00587F9A" w:rsidRDefault="00587F9A" w:rsidP="00587F9A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000" w:type="pct"/>
            <w:vAlign w:val="center"/>
          </w:tcPr>
          <w:p w:rsidR="00587F9A" w:rsidRPr="00587F9A" w:rsidRDefault="00587F9A" w:rsidP="00587F9A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587F9A">
              <w:rPr>
                <w:rFonts w:ascii="Times New Roman" w:eastAsiaTheme="minorEastAsia" w:hAnsi="Times New Roman"/>
                <w:sz w:val="21"/>
                <w:szCs w:val="21"/>
              </w:rPr>
              <w:t>AUC</w:t>
            </w:r>
            <w:r w:rsidRPr="00587F9A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0-t</w:t>
            </w:r>
            <w:r w:rsidRPr="00587F9A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587F9A">
              <w:rPr>
                <w:rFonts w:ascii="Times New Roman" w:eastAsiaTheme="minorEastAsia" w:hAnsi="Times New Roman"/>
                <w:sz w:val="21"/>
                <w:szCs w:val="21"/>
              </w:rPr>
              <w:t>h*ng/mL</w:t>
            </w:r>
            <w:r w:rsidRPr="00587F9A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87" w:type="pct"/>
            <w:vAlign w:val="center"/>
          </w:tcPr>
          <w:p w:rsidR="00587F9A" w:rsidRPr="00587F9A" w:rsidRDefault="00587F9A" w:rsidP="00587F9A">
            <w:pPr>
              <w:adjustRightInd w:val="0"/>
              <w:spacing w:before="19" w:after="19"/>
              <w:jc w:val="center"/>
              <w:rPr>
                <w:sz w:val="21"/>
                <w:szCs w:val="21"/>
                <w:lang w:bidi="ar"/>
              </w:rPr>
            </w:pPr>
            <w:r w:rsidRPr="00587F9A">
              <w:rPr>
                <w:sz w:val="21"/>
                <w:szCs w:val="21"/>
                <w:lang w:bidi="ar"/>
              </w:rPr>
              <w:t>5134.360</w:t>
            </w:r>
          </w:p>
        </w:tc>
        <w:tc>
          <w:tcPr>
            <w:tcW w:w="687" w:type="pct"/>
            <w:vAlign w:val="center"/>
          </w:tcPr>
          <w:p w:rsidR="00587F9A" w:rsidRPr="00587F9A" w:rsidRDefault="00587F9A" w:rsidP="00587F9A">
            <w:pPr>
              <w:adjustRightInd w:val="0"/>
              <w:spacing w:before="19" w:after="19"/>
              <w:jc w:val="center"/>
              <w:rPr>
                <w:sz w:val="21"/>
                <w:szCs w:val="21"/>
                <w:lang w:bidi="ar"/>
              </w:rPr>
            </w:pPr>
            <w:r w:rsidRPr="00587F9A">
              <w:rPr>
                <w:sz w:val="21"/>
                <w:szCs w:val="21"/>
                <w:lang w:bidi="ar"/>
              </w:rPr>
              <w:t>5197.357</w:t>
            </w:r>
          </w:p>
        </w:tc>
        <w:tc>
          <w:tcPr>
            <w:tcW w:w="705" w:type="pct"/>
            <w:vAlign w:val="center"/>
          </w:tcPr>
          <w:p w:rsidR="00587F9A" w:rsidRPr="00587F9A" w:rsidRDefault="00587F9A" w:rsidP="00587F9A">
            <w:pPr>
              <w:adjustRightInd w:val="0"/>
              <w:spacing w:before="19" w:after="19"/>
              <w:jc w:val="center"/>
              <w:rPr>
                <w:sz w:val="21"/>
                <w:szCs w:val="21"/>
                <w:lang w:bidi="ar"/>
              </w:rPr>
            </w:pPr>
            <w:r w:rsidRPr="00587F9A">
              <w:rPr>
                <w:sz w:val="21"/>
                <w:szCs w:val="21"/>
                <w:lang w:bidi="ar"/>
              </w:rPr>
              <w:t>98.79</w:t>
            </w:r>
          </w:p>
        </w:tc>
        <w:tc>
          <w:tcPr>
            <w:tcW w:w="1257" w:type="pct"/>
            <w:vAlign w:val="center"/>
          </w:tcPr>
          <w:p w:rsidR="00587F9A" w:rsidRPr="00587F9A" w:rsidRDefault="00587F9A" w:rsidP="00587F9A">
            <w:pPr>
              <w:adjustRightInd w:val="0"/>
              <w:spacing w:before="19" w:after="19"/>
              <w:jc w:val="center"/>
              <w:rPr>
                <w:sz w:val="21"/>
                <w:szCs w:val="21"/>
                <w:lang w:bidi="ar"/>
              </w:rPr>
            </w:pPr>
            <w:r w:rsidRPr="00587F9A">
              <w:rPr>
                <w:sz w:val="21"/>
                <w:szCs w:val="21"/>
                <w:lang w:bidi="ar"/>
              </w:rPr>
              <w:t>92.20%~105.84</w:t>
            </w:r>
            <w:r w:rsidRPr="00587F9A">
              <w:rPr>
                <w:sz w:val="21"/>
                <w:szCs w:val="21"/>
                <w:lang w:bidi="ar"/>
              </w:rPr>
              <w:t>%</w:t>
            </w:r>
          </w:p>
        </w:tc>
      </w:tr>
      <w:tr w:rsidR="00587F9A" w:rsidRPr="002B2F75" w:rsidTr="00587F9A">
        <w:trPr>
          <w:trHeight w:val="519"/>
          <w:jc w:val="center"/>
        </w:trPr>
        <w:tc>
          <w:tcPr>
            <w:tcW w:w="664" w:type="pct"/>
            <w:vMerge/>
          </w:tcPr>
          <w:p w:rsidR="00587F9A" w:rsidRPr="00587F9A" w:rsidRDefault="00587F9A" w:rsidP="00587F9A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000" w:type="pct"/>
            <w:vAlign w:val="center"/>
          </w:tcPr>
          <w:p w:rsidR="00587F9A" w:rsidRPr="00587F9A" w:rsidRDefault="00587F9A" w:rsidP="00587F9A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587F9A">
              <w:rPr>
                <w:rFonts w:ascii="Times New Roman" w:eastAsiaTheme="minorEastAsia" w:hAnsi="Times New Roman"/>
                <w:sz w:val="21"/>
                <w:szCs w:val="21"/>
              </w:rPr>
              <w:t>AUC</w:t>
            </w:r>
            <w:r w:rsidRPr="00587F9A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0-∞</w:t>
            </w:r>
            <w:r w:rsidRPr="00587F9A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587F9A">
              <w:rPr>
                <w:rFonts w:ascii="Times New Roman" w:eastAsiaTheme="minorEastAsia" w:hAnsi="Times New Roman"/>
                <w:sz w:val="21"/>
                <w:szCs w:val="21"/>
              </w:rPr>
              <w:t>h*ng/mL</w:t>
            </w:r>
            <w:r w:rsidRPr="00587F9A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87" w:type="pct"/>
            <w:vAlign w:val="center"/>
          </w:tcPr>
          <w:p w:rsidR="00587F9A" w:rsidRPr="00587F9A" w:rsidRDefault="00587F9A" w:rsidP="00587F9A">
            <w:pPr>
              <w:adjustRightInd w:val="0"/>
              <w:spacing w:before="19" w:after="19"/>
              <w:jc w:val="center"/>
              <w:rPr>
                <w:sz w:val="21"/>
                <w:szCs w:val="21"/>
                <w:lang w:bidi="ar"/>
              </w:rPr>
            </w:pPr>
            <w:r w:rsidRPr="00587F9A">
              <w:rPr>
                <w:sz w:val="21"/>
                <w:szCs w:val="21"/>
                <w:lang w:bidi="ar"/>
              </w:rPr>
              <w:t>5374.382</w:t>
            </w:r>
          </w:p>
        </w:tc>
        <w:tc>
          <w:tcPr>
            <w:tcW w:w="687" w:type="pct"/>
            <w:vAlign w:val="center"/>
          </w:tcPr>
          <w:p w:rsidR="00587F9A" w:rsidRPr="00587F9A" w:rsidRDefault="00587F9A" w:rsidP="00587F9A">
            <w:pPr>
              <w:adjustRightInd w:val="0"/>
              <w:spacing w:before="19" w:after="19"/>
              <w:jc w:val="center"/>
              <w:rPr>
                <w:sz w:val="21"/>
                <w:szCs w:val="21"/>
                <w:lang w:bidi="ar"/>
              </w:rPr>
            </w:pPr>
            <w:r w:rsidRPr="00587F9A">
              <w:rPr>
                <w:sz w:val="21"/>
                <w:szCs w:val="21"/>
                <w:lang w:bidi="ar"/>
              </w:rPr>
              <w:t>5313.128</w:t>
            </w:r>
          </w:p>
        </w:tc>
        <w:tc>
          <w:tcPr>
            <w:tcW w:w="705" w:type="pct"/>
            <w:vAlign w:val="center"/>
          </w:tcPr>
          <w:p w:rsidR="00587F9A" w:rsidRPr="00587F9A" w:rsidRDefault="00587F9A" w:rsidP="00587F9A">
            <w:pPr>
              <w:adjustRightInd w:val="0"/>
              <w:spacing w:before="19" w:after="19"/>
              <w:jc w:val="center"/>
              <w:rPr>
                <w:sz w:val="21"/>
                <w:szCs w:val="21"/>
                <w:lang w:bidi="ar"/>
              </w:rPr>
            </w:pPr>
            <w:r w:rsidRPr="00587F9A">
              <w:rPr>
                <w:sz w:val="21"/>
                <w:szCs w:val="21"/>
                <w:lang w:bidi="ar"/>
              </w:rPr>
              <w:t>101.15</w:t>
            </w:r>
          </w:p>
        </w:tc>
        <w:tc>
          <w:tcPr>
            <w:tcW w:w="1257" w:type="pct"/>
            <w:vAlign w:val="center"/>
          </w:tcPr>
          <w:p w:rsidR="00587F9A" w:rsidRPr="00587F9A" w:rsidRDefault="00587F9A" w:rsidP="00587F9A">
            <w:pPr>
              <w:adjustRightInd w:val="0"/>
              <w:spacing w:before="19" w:after="19"/>
              <w:jc w:val="center"/>
              <w:rPr>
                <w:sz w:val="21"/>
                <w:szCs w:val="21"/>
                <w:lang w:bidi="ar"/>
              </w:rPr>
            </w:pPr>
            <w:r w:rsidRPr="00587F9A">
              <w:rPr>
                <w:sz w:val="21"/>
                <w:szCs w:val="21"/>
                <w:lang w:bidi="ar"/>
              </w:rPr>
              <w:t>94.72%~108.03</w:t>
            </w:r>
            <w:r w:rsidRPr="00587F9A">
              <w:rPr>
                <w:sz w:val="21"/>
                <w:szCs w:val="21"/>
                <w:lang w:bidi="ar"/>
              </w:rPr>
              <w:t>%</w:t>
            </w:r>
          </w:p>
        </w:tc>
      </w:tr>
      <w:tr w:rsidR="00641826" w:rsidRPr="002B2F75" w:rsidTr="00587F9A">
        <w:trPr>
          <w:trHeight w:val="426"/>
          <w:jc w:val="center"/>
        </w:trPr>
        <w:tc>
          <w:tcPr>
            <w:tcW w:w="664" w:type="pct"/>
            <w:vMerge w:val="restart"/>
            <w:vAlign w:val="center"/>
          </w:tcPr>
          <w:p w:rsidR="00641826" w:rsidRPr="00B54803" w:rsidRDefault="00641826" w:rsidP="00641826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B54803">
              <w:rPr>
                <w:rFonts w:ascii="Times New Roman" w:eastAsiaTheme="minorEastAsia" w:hAnsi="Times New Roman"/>
                <w:sz w:val="21"/>
                <w:szCs w:val="21"/>
              </w:rPr>
              <w:t>餐后</w:t>
            </w:r>
          </w:p>
          <w:p w:rsidR="00641826" w:rsidRPr="00B54803" w:rsidRDefault="00641826" w:rsidP="00702F7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B54803">
              <w:rPr>
                <w:rFonts w:ascii="Times New Roman" w:eastAsiaTheme="minorEastAsia" w:hAnsi="Times New Roman"/>
                <w:sz w:val="21"/>
                <w:szCs w:val="21"/>
              </w:rPr>
              <w:t>BE</w:t>
            </w:r>
            <w:r w:rsidRPr="00B54803">
              <w:rPr>
                <w:rFonts w:ascii="Times New Roman" w:eastAsiaTheme="minorEastAsia" w:hAnsi="Times New Roman" w:hint="eastAsia"/>
                <w:sz w:val="21"/>
                <w:szCs w:val="21"/>
              </w:rPr>
              <w:t>（</w:t>
            </w:r>
            <w:r w:rsidRPr="00B54803">
              <w:rPr>
                <w:rFonts w:ascii="Times New Roman" w:eastAsiaTheme="minorEastAsia" w:hAnsi="Times New Roman" w:hint="eastAsia"/>
                <w:sz w:val="21"/>
                <w:szCs w:val="21"/>
              </w:rPr>
              <w:t>n=</w:t>
            </w:r>
            <w:r w:rsidR="00CA471F" w:rsidRPr="00B54803">
              <w:rPr>
                <w:rFonts w:ascii="Times New Roman" w:eastAsiaTheme="minorEastAsia" w:hAnsi="Times New Roman"/>
                <w:sz w:val="21"/>
                <w:szCs w:val="21"/>
              </w:rPr>
              <w:t>3</w:t>
            </w:r>
            <w:r w:rsidR="00702F7D" w:rsidRPr="00B54803">
              <w:rPr>
                <w:rFonts w:ascii="Times New Roman" w:eastAsiaTheme="minorEastAsia" w:hAnsi="Times New Roman"/>
                <w:sz w:val="21"/>
                <w:szCs w:val="21"/>
              </w:rPr>
              <w:t>0</w:t>
            </w:r>
            <w:r w:rsidRPr="00B54803">
              <w:rPr>
                <w:rFonts w:ascii="Times New Roman" w:eastAsiaTheme="minorEastAsia" w:hAnsi="Times New Roman" w:hint="eastAsia"/>
                <w:sz w:val="21"/>
                <w:szCs w:val="21"/>
              </w:rPr>
              <w:t>）</w:t>
            </w:r>
          </w:p>
        </w:tc>
        <w:tc>
          <w:tcPr>
            <w:tcW w:w="1000" w:type="pct"/>
            <w:vMerge w:val="restart"/>
            <w:vAlign w:val="center"/>
          </w:tcPr>
          <w:p w:rsidR="00641826" w:rsidRPr="00B54803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B54803">
              <w:rPr>
                <w:rFonts w:ascii="Times New Roman" w:eastAsiaTheme="minorEastAsia" w:hAnsi="Times New Roman"/>
                <w:sz w:val="21"/>
                <w:szCs w:val="21"/>
              </w:rPr>
              <w:t>参数</w:t>
            </w:r>
          </w:p>
        </w:tc>
        <w:tc>
          <w:tcPr>
            <w:tcW w:w="2078" w:type="pct"/>
            <w:gridSpan w:val="3"/>
            <w:vAlign w:val="center"/>
          </w:tcPr>
          <w:p w:rsidR="00641826" w:rsidRPr="00B54803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B54803">
              <w:rPr>
                <w:rFonts w:ascii="Times New Roman" w:eastAsiaTheme="minorEastAsia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1257" w:type="pct"/>
            <w:vMerge w:val="restart"/>
            <w:vAlign w:val="center"/>
          </w:tcPr>
          <w:p w:rsidR="00641826" w:rsidRPr="00B54803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B54803">
              <w:rPr>
                <w:rFonts w:ascii="Times New Roman" w:eastAsiaTheme="minorEastAsia" w:hAnsi="Times New Roman"/>
                <w:sz w:val="21"/>
                <w:szCs w:val="21"/>
              </w:rPr>
              <w:t>90%CI</w:t>
            </w:r>
          </w:p>
        </w:tc>
      </w:tr>
      <w:tr w:rsidR="00641826" w:rsidRPr="002B2F75" w:rsidTr="00587F9A">
        <w:trPr>
          <w:trHeight w:val="426"/>
          <w:jc w:val="center"/>
        </w:trPr>
        <w:tc>
          <w:tcPr>
            <w:tcW w:w="664" w:type="pct"/>
            <w:vMerge/>
          </w:tcPr>
          <w:p w:rsidR="00641826" w:rsidRPr="00B54803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000" w:type="pct"/>
            <w:vMerge/>
            <w:vAlign w:val="center"/>
          </w:tcPr>
          <w:p w:rsidR="00641826" w:rsidRPr="00B54803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687" w:type="pct"/>
            <w:vAlign w:val="center"/>
          </w:tcPr>
          <w:p w:rsidR="00641826" w:rsidRPr="00B54803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B54803">
              <w:rPr>
                <w:rFonts w:ascii="Times New Roman" w:eastAsiaTheme="minorEastAsia" w:hAnsi="Times New Roman"/>
                <w:sz w:val="21"/>
                <w:szCs w:val="21"/>
              </w:rPr>
              <w:t>T</w:t>
            </w:r>
          </w:p>
        </w:tc>
        <w:tc>
          <w:tcPr>
            <w:tcW w:w="687" w:type="pct"/>
            <w:vAlign w:val="center"/>
          </w:tcPr>
          <w:p w:rsidR="00641826" w:rsidRPr="00B54803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B54803">
              <w:rPr>
                <w:rFonts w:ascii="Times New Roman" w:eastAsiaTheme="minorEastAsia" w:hAnsi="Times New Roman"/>
                <w:sz w:val="21"/>
                <w:szCs w:val="21"/>
              </w:rPr>
              <w:t>R</w:t>
            </w:r>
          </w:p>
        </w:tc>
        <w:tc>
          <w:tcPr>
            <w:tcW w:w="705" w:type="pct"/>
            <w:vAlign w:val="center"/>
          </w:tcPr>
          <w:p w:rsidR="00641826" w:rsidRPr="00B54803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B54803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B54803">
              <w:rPr>
                <w:rFonts w:ascii="Times New Roman" w:eastAsiaTheme="minorEastAsia" w:hAnsi="Times New Roman"/>
                <w:sz w:val="21"/>
                <w:szCs w:val="21"/>
              </w:rPr>
              <w:t>T/R</w:t>
            </w:r>
            <w:r w:rsidRPr="00B54803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  <w:r w:rsidRPr="00B54803">
              <w:rPr>
                <w:rFonts w:ascii="Times New Roman" w:eastAsiaTheme="minorEastAsia" w:hAnsi="Times New Roman"/>
                <w:sz w:val="21"/>
                <w:szCs w:val="21"/>
              </w:rPr>
              <w:t>%</w:t>
            </w:r>
          </w:p>
        </w:tc>
        <w:tc>
          <w:tcPr>
            <w:tcW w:w="1257" w:type="pct"/>
            <w:vMerge/>
            <w:vAlign w:val="center"/>
          </w:tcPr>
          <w:p w:rsidR="00641826" w:rsidRPr="00B54803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</w:tr>
      <w:tr w:rsidR="00702F7D" w:rsidRPr="002B2F75" w:rsidTr="00587F9A">
        <w:trPr>
          <w:trHeight w:val="457"/>
          <w:jc w:val="center"/>
        </w:trPr>
        <w:tc>
          <w:tcPr>
            <w:tcW w:w="664" w:type="pct"/>
            <w:vMerge/>
          </w:tcPr>
          <w:p w:rsidR="00702F7D" w:rsidRPr="00B54803" w:rsidRDefault="00702F7D" w:rsidP="00702F7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000" w:type="pct"/>
            <w:vAlign w:val="center"/>
          </w:tcPr>
          <w:p w:rsidR="00702F7D" w:rsidRPr="00B54803" w:rsidRDefault="00702F7D" w:rsidP="00702F7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proofErr w:type="spellStart"/>
            <w:r w:rsidRPr="00B54803">
              <w:rPr>
                <w:rFonts w:ascii="Times New Roman" w:eastAsiaTheme="minorEastAsia" w:hAnsi="Times New Roman"/>
                <w:sz w:val="21"/>
                <w:szCs w:val="21"/>
              </w:rPr>
              <w:t>C</w:t>
            </w:r>
            <w:r w:rsidRPr="00B54803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max</w:t>
            </w:r>
            <w:proofErr w:type="spellEnd"/>
            <w:r w:rsidRPr="00B54803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B54803">
              <w:rPr>
                <w:rFonts w:ascii="Times New Roman" w:eastAsiaTheme="minorEastAsia" w:hAnsi="Times New Roman"/>
                <w:sz w:val="21"/>
                <w:szCs w:val="21"/>
              </w:rPr>
              <w:t>ng/mL</w:t>
            </w:r>
            <w:r w:rsidRPr="00B54803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87" w:type="pct"/>
            <w:vAlign w:val="center"/>
          </w:tcPr>
          <w:p w:rsidR="00702F7D" w:rsidRPr="00B54803" w:rsidRDefault="00B54803" w:rsidP="00702F7D">
            <w:pPr>
              <w:adjustRightInd w:val="0"/>
              <w:spacing w:before="19" w:after="19"/>
              <w:jc w:val="center"/>
              <w:rPr>
                <w:sz w:val="21"/>
                <w:szCs w:val="21"/>
              </w:rPr>
            </w:pPr>
            <w:r w:rsidRPr="00B54803">
              <w:rPr>
                <w:rFonts w:hint="eastAsia"/>
                <w:sz w:val="21"/>
                <w:szCs w:val="21"/>
              </w:rPr>
              <w:t>651.844</w:t>
            </w:r>
          </w:p>
        </w:tc>
        <w:tc>
          <w:tcPr>
            <w:tcW w:w="687" w:type="pct"/>
            <w:vAlign w:val="center"/>
          </w:tcPr>
          <w:p w:rsidR="00702F7D" w:rsidRPr="00B54803" w:rsidRDefault="00B54803" w:rsidP="00B54803">
            <w:pPr>
              <w:adjustRightInd w:val="0"/>
              <w:spacing w:before="19" w:after="19"/>
              <w:jc w:val="center"/>
              <w:rPr>
                <w:sz w:val="21"/>
                <w:szCs w:val="21"/>
              </w:rPr>
            </w:pPr>
            <w:r w:rsidRPr="00B54803">
              <w:rPr>
                <w:rFonts w:hint="eastAsia"/>
                <w:sz w:val="21"/>
                <w:szCs w:val="21"/>
              </w:rPr>
              <w:t>64</w:t>
            </w:r>
            <w:r>
              <w:rPr>
                <w:sz w:val="21"/>
                <w:szCs w:val="21"/>
              </w:rPr>
              <w:t>2</w:t>
            </w:r>
            <w:r w:rsidRPr="00B54803">
              <w:rPr>
                <w:rFonts w:hint="eastAsia"/>
                <w:sz w:val="21"/>
                <w:szCs w:val="21"/>
              </w:rPr>
              <w:t>.296</w:t>
            </w:r>
          </w:p>
        </w:tc>
        <w:tc>
          <w:tcPr>
            <w:tcW w:w="705" w:type="pct"/>
            <w:vAlign w:val="center"/>
          </w:tcPr>
          <w:p w:rsidR="00702F7D" w:rsidRPr="00B54803" w:rsidRDefault="00B54803" w:rsidP="00702F7D">
            <w:pPr>
              <w:adjustRightInd w:val="0"/>
              <w:spacing w:before="19" w:after="19"/>
              <w:jc w:val="center"/>
              <w:rPr>
                <w:sz w:val="21"/>
                <w:szCs w:val="21"/>
              </w:rPr>
            </w:pPr>
            <w:r w:rsidRPr="00B54803">
              <w:rPr>
                <w:rFonts w:hint="eastAsia"/>
                <w:sz w:val="21"/>
                <w:szCs w:val="21"/>
              </w:rPr>
              <w:t>101.49</w:t>
            </w:r>
          </w:p>
        </w:tc>
        <w:tc>
          <w:tcPr>
            <w:tcW w:w="1257" w:type="pct"/>
            <w:vAlign w:val="center"/>
          </w:tcPr>
          <w:p w:rsidR="00702F7D" w:rsidRPr="00B54803" w:rsidRDefault="00702F7D" w:rsidP="00B54803">
            <w:pPr>
              <w:adjustRightInd w:val="0"/>
              <w:spacing w:before="19" w:after="19"/>
              <w:jc w:val="center"/>
              <w:rPr>
                <w:sz w:val="21"/>
                <w:szCs w:val="21"/>
              </w:rPr>
            </w:pPr>
            <w:r w:rsidRPr="00B54803">
              <w:rPr>
                <w:sz w:val="21"/>
                <w:szCs w:val="21"/>
                <w:lang w:bidi="ar"/>
              </w:rPr>
              <w:t>9</w:t>
            </w:r>
            <w:r w:rsidR="00B54803" w:rsidRPr="00B54803">
              <w:rPr>
                <w:sz w:val="21"/>
                <w:szCs w:val="21"/>
                <w:lang w:bidi="ar"/>
              </w:rPr>
              <w:t>7.95</w:t>
            </w:r>
            <w:r w:rsidRPr="00B54803">
              <w:rPr>
                <w:sz w:val="21"/>
                <w:szCs w:val="21"/>
              </w:rPr>
              <w:t>%~</w:t>
            </w:r>
            <w:r w:rsidR="00B54803" w:rsidRPr="00B54803">
              <w:rPr>
                <w:sz w:val="21"/>
                <w:szCs w:val="21"/>
                <w:lang w:bidi="ar"/>
              </w:rPr>
              <w:t>105.15</w:t>
            </w:r>
            <w:r w:rsidRPr="00B54803">
              <w:rPr>
                <w:sz w:val="21"/>
                <w:szCs w:val="21"/>
                <w:lang w:bidi="ar"/>
              </w:rPr>
              <w:t>%</w:t>
            </w:r>
          </w:p>
        </w:tc>
      </w:tr>
      <w:tr w:rsidR="00702F7D" w:rsidRPr="002B2F75" w:rsidTr="00587F9A">
        <w:trPr>
          <w:trHeight w:val="488"/>
          <w:jc w:val="center"/>
        </w:trPr>
        <w:tc>
          <w:tcPr>
            <w:tcW w:w="664" w:type="pct"/>
            <w:vMerge/>
          </w:tcPr>
          <w:p w:rsidR="00702F7D" w:rsidRPr="00B54803" w:rsidRDefault="00702F7D" w:rsidP="00702F7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000" w:type="pct"/>
            <w:vAlign w:val="center"/>
          </w:tcPr>
          <w:p w:rsidR="00702F7D" w:rsidRPr="00B54803" w:rsidRDefault="00702F7D" w:rsidP="00702F7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B54803">
              <w:rPr>
                <w:rFonts w:ascii="Times New Roman" w:eastAsiaTheme="minorEastAsia" w:hAnsi="Times New Roman"/>
                <w:sz w:val="21"/>
                <w:szCs w:val="21"/>
              </w:rPr>
              <w:t>AUC</w:t>
            </w:r>
            <w:r w:rsidRPr="00B54803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0-t</w:t>
            </w:r>
            <w:r w:rsidRPr="00B54803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B54803">
              <w:rPr>
                <w:rFonts w:ascii="Times New Roman" w:eastAsiaTheme="minorEastAsia" w:hAnsi="Times New Roman"/>
                <w:sz w:val="21"/>
                <w:szCs w:val="21"/>
              </w:rPr>
              <w:t>h*ng/mL</w:t>
            </w:r>
            <w:r w:rsidRPr="00B54803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87" w:type="pct"/>
            <w:vAlign w:val="center"/>
          </w:tcPr>
          <w:p w:rsidR="00702F7D" w:rsidRPr="00B54803" w:rsidRDefault="00B54803" w:rsidP="00702F7D">
            <w:pPr>
              <w:adjustRightInd w:val="0"/>
              <w:spacing w:before="19" w:after="19"/>
              <w:jc w:val="center"/>
              <w:rPr>
                <w:sz w:val="21"/>
                <w:szCs w:val="21"/>
              </w:rPr>
            </w:pPr>
            <w:r w:rsidRPr="00B54803">
              <w:rPr>
                <w:rFonts w:hint="eastAsia"/>
                <w:sz w:val="21"/>
                <w:szCs w:val="21"/>
              </w:rPr>
              <w:t>7127.971</w:t>
            </w:r>
          </w:p>
        </w:tc>
        <w:tc>
          <w:tcPr>
            <w:tcW w:w="687" w:type="pct"/>
            <w:vAlign w:val="center"/>
          </w:tcPr>
          <w:p w:rsidR="00702F7D" w:rsidRPr="00B54803" w:rsidRDefault="00B54803" w:rsidP="00702F7D">
            <w:pPr>
              <w:adjustRightInd w:val="0"/>
              <w:spacing w:before="19" w:after="19"/>
              <w:jc w:val="center"/>
              <w:rPr>
                <w:sz w:val="21"/>
                <w:szCs w:val="21"/>
              </w:rPr>
            </w:pPr>
            <w:r w:rsidRPr="00B54803">
              <w:rPr>
                <w:rFonts w:hint="eastAsia"/>
                <w:sz w:val="21"/>
                <w:szCs w:val="21"/>
              </w:rPr>
              <w:t>7299.218</w:t>
            </w:r>
          </w:p>
        </w:tc>
        <w:tc>
          <w:tcPr>
            <w:tcW w:w="705" w:type="pct"/>
            <w:vAlign w:val="center"/>
          </w:tcPr>
          <w:p w:rsidR="00702F7D" w:rsidRPr="00B54803" w:rsidRDefault="00B54803" w:rsidP="00702F7D">
            <w:pPr>
              <w:adjustRightInd w:val="0"/>
              <w:spacing w:before="19" w:after="19"/>
              <w:jc w:val="center"/>
              <w:rPr>
                <w:sz w:val="21"/>
                <w:szCs w:val="21"/>
              </w:rPr>
            </w:pPr>
            <w:r w:rsidRPr="00B54803">
              <w:rPr>
                <w:rFonts w:hint="eastAsia"/>
                <w:sz w:val="21"/>
                <w:szCs w:val="21"/>
              </w:rPr>
              <w:t>97.79</w:t>
            </w:r>
          </w:p>
        </w:tc>
        <w:tc>
          <w:tcPr>
            <w:tcW w:w="1257" w:type="pct"/>
            <w:vAlign w:val="center"/>
          </w:tcPr>
          <w:p w:rsidR="00702F7D" w:rsidRPr="00B54803" w:rsidRDefault="00702F7D" w:rsidP="00B54803">
            <w:pPr>
              <w:adjustRightInd w:val="0"/>
              <w:spacing w:before="19" w:after="19"/>
              <w:jc w:val="center"/>
              <w:rPr>
                <w:sz w:val="21"/>
                <w:szCs w:val="21"/>
              </w:rPr>
            </w:pPr>
            <w:r w:rsidRPr="00B54803">
              <w:rPr>
                <w:sz w:val="21"/>
                <w:szCs w:val="21"/>
                <w:lang w:bidi="ar"/>
              </w:rPr>
              <w:t>94.</w:t>
            </w:r>
            <w:r w:rsidR="00B54803" w:rsidRPr="00B54803">
              <w:rPr>
                <w:sz w:val="21"/>
                <w:szCs w:val="21"/>
                <w:lang w:bidi="ar"/>
              </w:rPr>
              <w:t>88</w:t>
            </w:r>
            <w:r w:rsidRPr="00B54803">
              <w:rPr>
                <w:sz w:val="21"/>
                <w:szCs w:val="21"/>
              </w:rPr>
              <w:t>%~</w:t>
            </w:r>
            <w:r w:rsidR="00B54803" w:rsidRPr="00B54803">
              <w:rPr>
                <w:sz w:val="21"/>
                <w:szCs w:val="21"/>
                <w:lang w:bidi="ar"/>
              </w:rPr>
              <w:t>100</w:t>
            </w:r>
            <w:r w:rsidRPr="00B54803">
              <w:rPr>
                <w:sz w:val="21"/>
                <w:szCs w:val="21"/>
                <w:lang w:bidi="ar"/>
              </w:rPr>
              <w:t>.</w:t>
            </w:r>
            <w:r w:rsidR="00B54803" w:rsidRPr="00B54803">
              <w:rPr>
                <w:sz w:val="21"/>
                <w:szCs w:val="21"/>
                <w:lang w:bidi="ar"/>
              </w:rPr>
              <w:t>79</w:t>
            </w:r>
            <w:r w:rsidRPr="00B54803">
              <w:rPr>
                <w:sz w:val="21"/>
                <w:szCs w:val="21"/>
                <w:lang w:bidi="ar"/>
              </w:rPr>
              <w:t>%</w:t>
            </w:r>
          </w:p>
        </w:tc>
      </w:tr>
      <w:tr w:rsidR="00702F7D" w:rsidRPr="002B2F75" w:rsidTr="00587F9A">
        <w:trPr>
          <w:trHeight w:val="519"/>
          <w:jc w:val="center"/>
        </w:trPr>
        <w:tc>
          <w:tcPr>
            <w:tcW w:w="664" w:type="pct"/>
            <w:vMerge/>
          </w:tcPr>
          <w:p w:rsidR="00702F7D" w:rsidRPr="002B2F75" w:rsidRDefault="00702F7D" w:rsidP="00702F7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  <w:highlight w:val="yellow"/>
              </w:rPr>
            </w:pPr>
          </w:p>
        </w:tc>
        <w:tc>
          <w:tcPr>
            <w:tcW w:w="1000" w:type="pct"/>
            <w:vAlign w:val="center"/>
          </w:tcPr>
          <w:p w:rsidR="00702F7D" w:rsidRPr="00B54803" w:rsidRDefault="00702F7D" w:rsidP="00702F7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B54803">
              <w:rPr>
                <w:rFonts w:ascii="Times New Roman" w:eastAsiaTheme="minorEastAsia" w:hAnsi="Times New Roman"/>
                <w:sz w:val="21"/>
                <w:szCs w:val="21"/>
              </w:rPr>
              <w:t>AUC</w:t>
            </w:r>
            <w:r w:rsidRPr="00B54803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0-∞</w:t>
            </w:r>
            <w:r w:rsidRPr="00B54803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B54803">
              <w:rPr>
                <w:rFonts w:ascii="Times New Roman" w:eastAsiaTheme="minorEastAsia" w:hAnsi="Times New Roman"/>
                <w:sz w:val="21"/>
                <w:szCs w:val="21"/>
              </w:rPr>
              <w:t>h*ng/mL</w:t>
            </w:r>
            <w:r w:rsidRPr="00B54803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87" w:type="pct"/>
            <w:vAlign w:val="center"/>
          </w:tcPr>
          <w:p w:rsidR="00702F7D" w:rsidRPr="00B54803" w:rsidRDefault="00B54803" w:rsidP="00702F7D">
            <w:pPr>
              <w:adjustRightInd w:val="0"/>
              <w:spacing w:before="19" w:after="19"/>
              <w:jc w:val="center"/>
              <w:rPr>
                <w:sz w:val="21"/>
                <w:szCs w:val="21"/>
              </w:rPr>
            </w:pPr>
            <w:r w:rsidRPr="00B54803">
              <w:rPr>
                <w:rFonts w:hint="eastAsia"/>
                <w:sz w:val="21"/>
                <w:szCs w:val="21"/>
              </w:rPr>
              <w:t>7212.764</w:t>
            </w:r>
          </w:p>
        </w:tc>
        <w:tc>
          <w:tcPr>
            <w:tcW w:w="687" w:type="pct"/>
            <w:vAlign w:val="center"/>
          </w:tcPr>
          <w:p w:rsidR="00702F7D" w:rsidRPr="00B54803" w:rsidRDefault="00B54803" w:rsidP="00702F7D">
            <w:pPr>
              <w:adjustRightInd w:val="0"/>
              <w:spacing w:before="19" w:after="19"/>
              <w:jc w:val="center"/>
              <w:rPr>
                <w:sz w:val="21"/>
                <w:szCs w:val="21"/>
              </w:rPr>
            </w:pPr>
            <w:r w:rsidRPr="00B54803">
              <w:rPr>
                <w:rFonts w:hint="eastAsia"/>
                <w:sz w:val="21"/>
                <w:szCs w:val="21"/>
              </w:rPr>
              <w:t>7396.938</w:t>
            </w:r>
          </w:p>
        </w:tc>
        <w:tc>
          <w:tcPr>
            <w:tcW w:w="705" w:type="pct"/>
            <w:vAlign w:val="center"/>
          </w:tcPr>
          <w:p w:rsidR="00702F7D" w:rsidRPr="00B54803" w:rsidRDefault="00B54803" w:rsidP="00702F7D">
            <w:pPr>
              <w:adjustRightInd w:val="0"/>
              <w:spacing w:before="19" w:after="19"/>
              <w:jc w:val="center"/>
              <w:rPr>
                <w:sz w:val="21"/>
                <w:szCs w:val="21"/>
              </w:rPr>
            </w:pPr>
            <w:r w:rsidRPr="00B54803">
              <w:rPr>
                <w:rFonts w:hint="eastAsia"/>
                <w:sz w:val="21"/>
                <w:szCs w:val="21"/>
              </w:rPr>
              <w:t>97.51</w:t>
            </w:r>
          </w:p>
        </w:tc>
        <w:tc>
          <w:tcPr>
            <w:tcW w:w="1257" w:type="pct"/>
            <w:vAlign w:val="center"/>
          </w:tcPr>
          <w:p w:rsidR="00702F7D" w:rsidRPr="00B54803" w:rsidRDefault="00B54803" w:rsidP="00B54803">
            <w:pPr>
              <w:adjustRightInd w:val="0"/>
              <w:spacing w:before="19" w:after="19"/>
              <w:jc w:val="center"/>
              <w:rPr>
                <w:sz w:val="21"/>
                <w:szCs w:val="21"/>
              </w:rPr>
            </w:pPr>
            <w:r w:rsidRPr="00B54803">
              <w:rPr>
                <w:sz w:val="21"/>
                <w:szCs w:val="21"/>
                <w:lang w:bidi="ar"/>
              </w:rPr>
              <w:t>94.47</w:t>
            </w:r>
            <w:r w:rsidR="00702F7D" w:rsidRPr="00B54803">
              <w:rPr>
                <w:sz w:val="21"/>
                <w:szCs w:val="21"/>
                <w:lang w:bidi="ar"/>
              </w:rPr>
              <w:t>5</w:t>
            </w:r>
            <w:r w:rsidR="00702F7D" w:rsidRPr="00B54803">
              <w:rPr>
                <w:sz w:val="21"/>
                <w:szCs w:val="21"/>
              </w:rPr>
              <w:t>%~</w:t>
            </w:r>
            <w:r w:rsidR="00702F7D" w:rsidRPr="00B54803">
              <w:rPr>
                <w:sz w:val="21"/>
                <w:szCs w:val="21"/>
                <w:lang w:bidi="ar"/>
              </w:rPr>
              <w:t>10</w:t>
            </w:r>
            <w:r w:rsidRPr="00B54803">
              <w:rPr>
                <w:sz w:val="21"/>
                <w:szCs w:val="21"/>
                <w:lang w:bidi="ar"/>
              </w:rPr>
              <w:t>0.64</w:t>
            </w:r>
            <w:r w:rsidR="00702F7D" w:rsidRPr="00B54803">
              <w:rPr>
                <w:sz w:val="21"/>
                <w:szCs w:val="21"/>
                <w:lang w:bidi="ar"/>
              </w:rPr>
              <w:t>%</w:t>
            </w:r>
          </w:p>
        </w:tc>
      </w:tr>
    </w:tbl>
    <w:p w:rsidR="00B11091" w:rsidRPr="000B2A53" w:rsidRDefault="00825632" w:rsidP="00635EF5">
      <w:pPr>
        <w:spacing w:line="360" w:lineRule="auto"/>
        <w:rPr>
          <w:rFonts w:ascii="Times New Roman" w:hAnsi="Times New Roman"/>
          <w:b/>
          <w:sz w:val="24"/>
          <w:szCs w:val="24"/>
        </w:rPr>
      </w:pPr>
      <w:r w:rsidRPr="000B2A53">
        <w:rPr>
          <w:rFonts w:ascii="Times New Roman" w:hAnsi="Times New Roman" w:hint="eastAsia"/>
          <w:b/>
          <w:sz w:val="24"/>
          <w:szCs w:val="24"/>
        </w:rPr>
        <w:t>3.</w:t>
      </w:r>
      <w:r w:rsidRPr="000B2A53">
        <w:rPr>
          <w:rFonts w:ascii="Times New Roman" w:hAnsi="Times New Roman" w:hint="eastAsia"/>
          <w:b/>
          <w:sz w:val="24"/>
          <w:szCs w:val="24"/>
        </w:rPr>
        <w:t>审评结论</w:t>
      </w:r>
    </w:p>
    <w:p w:rsidR="00825632" w:rsidRPr="00CA471F" w:rsidRDefault="000B2A53" w:rsidP="00CA471F">
      <w:pPr>
        <w:spacing w:line="360" w:lineRule="auto"/>
        <w:ind w:firstLineChars="196" w:firstLine="470"/>
        <w:rPr>
          <w:rFonts w:ascii="Times New Roman" w:hAnsi="Times New Roman"/>
          <w:sz w:val="24"/>
          <w:szCs w:val="24"/>
        </w:rPr>
      </w:pPr>
      <w:r w:rsidRPr="000B2A53">
        <w:rPr>
          <w:rFonts w:ascii="Times New Roman" w:hAnsi="Times New Roman" w:hint="eastAsia"/>
          <w:sz w:val="24"/>
          <w:szCs w:val="24"/>
        </w:rPr>
        <w:t>河南福森药业有限公司</w:t>
      </w:r>
      <w:r w:rsidR="007F1374" w:rsidRPr="000B2A53">
        <w:rPr>
          <w:rFonts w:ascii="Times New Roman" w:hAnsi="Times New Roman" w:hint="eastAsia"/>
          <w:sz w:val="24"/>
          <w:szCs w:val="24"/>
        </w:rPr>
        <w:t>生产的</w:t>
      </w:r>
      <w:r w:rsidR="00DE2F8D" w:rsidRPr="000B2A53">
        <w:rPr>
          <w:rFonts w:ascii="Times New Roman" w:hAnsi="Times New Roman" w:hint="eastAsia"/>
          <w:sz w:val="24"/>
          <w:szCs w:val="24"/>
        </w:rPr>
        <w:t>盐酸二甲双</w:t>
      </w:r>
      <w:proofErr w:type="gramStart"/>
      <w:r w:rsidR="00DE2F8D" w:rsidRPr="000B2A53">
        <w:rPr>
          <w:rFonts w:ascii="Times New Roman" w:hAnsi="Times New Roman" w:hint="eastAsia"/>
          <w:sz w:val="24"/>
          <w:szCs w:val="24"/>
        </w:rPr>
        <w:t>胍</w:t>
      </w:r>
      <w:proofErr w:type="gramEnd"/>
      <w:r w:rsidR="00DE2F8D" w:rsidRPr="000B2A53">
        <w:rPr>
          <w:rFonts w:ascii="Times New Roman" w:hAnsi="Times New Roman" w:hint="eastAsia"/>
          <w:sz w:val="24"/>
          <w:szCs w:val="24"/>
        </w:rPr>
        <w:t>缓释片</w:t>
      </w:r>
      <w:r w:rsidR="00E02597" w:rsidRPr="000B2A53">
        <w:rPr>
          <w:rFonts w:ascii="Times New Roman" w:hAnsi="Times New Roman" w:hint="eastAsia"/>
          <w:sz w:val="24"/>
          <w:szCs w:val="24"/>
        </w:rPr>
        <w:t>通过</w:t>
      </w:r>
      <w:r w:rsidR="00825632" w:rsidRPr="000B2A53">
        <w:rPr>
          <w:rFonts w:ascii="Times New Roman" w:hAnsi="Times New Roman" w:hint="eastAsia"/>
          <w:sz w:val="24"/>
          <w:szCs w:val="24"/>
        </w:rPr>
        <w:t>仿制药质量与疗效一致性评价。</w:t>
      </w:r>
    </w:p>
    <w:p w:rsidR="007A6237" w:rsidRPr="00496359" w:rsidRDefault="007A6237" w:rsidP="003078F4">
      <w:pPr>
        <w:widowControl/>
        <w:spacing w:line="360" w:lineRule="auto"/>
        <w:rPr>
          <w:rFonts w:ascii="Times New Roman" w:hAnsi="Times New Roman"/>
          <w:sz w:val="24"/>
          <w:szCs w:val="24"/>
        </w:rPr>
      </w:pPr>
    </w:p>
    <w:sectPr w:rsidR="007A6237" w:rsidRPr="00496359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4E75" w:rsidRDefault="009C4E75" w:rsidP="00D45C81">
      <w:r>
        <w:separator/>
      </w:r>
    </w:p>
  </w:endnote>
  <w:endnote w:type="continuationSeparator" w:id="0">
    <w:p w:rsidR="009C4E75" w:rsidRDefault="009C4E75" w:rsidP="00D45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小标宋简体">
    <w:altName w:val="Microsoft YaHei UI"/>
    <w:charset w:val="86"/>
    <w:family w:val="script"/>
    <w:pitch w:val="default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altName w:val="仿宋"/>
    <w:charset w:val="86"/>
    <w:family w:val="modern"/>
    <w:pitch w:val="default"/>
    <w:sig w:usb0="00000000" w:usb1="0000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8A03A5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AE0C3A" w:rsidRPr="00AE0C3A">
          <w:rPr>
            <w:rFonts w:ascii="仿宋_GB2312" w:eastAsia="仿宋_GB2312"/>
            <w:noProof/>
            <w:sz w:val="24"/>
            <w:szCs w:val="24"/>
            <w:lang w:val="zh-CN"/>
          </w:rPr>
          <w:t>1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 w:rsidR="003078F4">
          <w:rPr>
            <w:rFonts w:ascii="仿宋_GB2312" w:eastAsia="仿宋_GB2312" w:hint="eastAsia"/>
            <w:sz w:val="24"/>
            <w:szCs w:val="24"/>
          </w:rPr>
          <w:t>/</w:t>
        </w:r>
        <w:r w:rsidR="003078F4"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4E75" w:rsidRDefault="009C4E75" w:rsidP="00D45C81">
      <w:r>
        <w:separator/>
      </w:r>
    </w:p>
  </w:footnote>
  <w:footnote w:type="continuationSeparator" w:id="0">
    <w:p w:rsidR="009C4E75" w:rsidRDefault="009C4E75" w:rsidP="00D45C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499"/>
    <w:rsid w:val="0000254C"/>
    <w:rsid w:val="00002870"/>
    <w:rsid w:val="00002F84"/>
    <w:rsid w:val="00017BF7"/>
    <w:rsid w:val="00021EB0"/>
    <w:rsid w:val="000237DE"/>
    <w:rsid w:val="000259AC"/>
    <w:rsid w:val="00025D61"/>
    <w:rsid w:val="00052A6C"/>
    <w:rsid w:val="000566B2"/>
    <w:rsid w:val="00057A00"/>
    <w:rsid w:val="00066740"/>
    <w:rsid w:val="000676B7"/>
    <w:rsid w:val="000826CB"/>
    <w:rsid w:val="00086BAF"/>
    <w:rsid w:val="00087468"/>
    <w:rsid w:val="00093E39"/>
    <w:rsid w:val="000A05F8"/>
    <w:rsid w:val="000A64C5"/>
    <w:rsid w:val="000A6D15"/>
    <w:rsid w:val="000B2A53"/>
    <w:rsid w:val="000B7EF9"/>
    <w:rsid w:val="000C2394"/>
    <w:rsid w:val="000C2492"/>
    <w:rsid w:val="000C344B"/>
    <w:rsid w:val="000D1A23"/>
    <w:rsid w:val="000D2E0E"/>
    <w:rsid w:val="000D3065"/>
    <w:rsid w:val="000E4063"/>
    <w:rsid w:val="000F7095"/>
    <w:rsid w:val="00100620"/>
    <w:rsid w:val="00103345"/>
    <w:rsid w:val="001136E7"/>
    <w:rsid w:val="00117F5E"/>
    <w:rsid w:val="00130DB7"/>
    <w:rsid w:val="00142C4E"/>
    <w:rsid w:val="001460F9"/>
    <w:rsid w:val="0015186D"/>
    <w:rsid w:val="00162F3F"/>
    <w:rsid w:val="001634D2"/>
    <w:rsid w:val="00183B78"/>
    <w:rsid w:val="00187CB5"/>
    <w:rsid w:val="00190E5A"/>
    <w:rsid w:val="001A4598"/>
    <w:rsid w:val="001C57D6"/>
    <w:rsid w:val="001D05F1"/>
    <w:rsid w:val="001D1DDC"/>
    <w:rsid w:val="001D2CBD"/>
    <w:rsid w:val="001D5BC6"/>
    <w:rsid w:val="001E008E"/>
    <w:rsid w:val="001E719A"/>
    <w:rsid w:val="001E7990"/>
    <w:rsid w:val="001F54E5"/>
    <w:rsid w:val="001F62CC"/>
    <w:rsid w:val="0020195D"/>
    <w:rsid w:val="00202A84"/>
    <w:rsid w:val="00214CE2"/>
    <w:rsid w:val="00215067"/>
    <w:rsid w:val="00221A03"/>
    <w:rsid w:val="00222443"/>
    <w:rsid w:val="0022280B"/>
    <w:rsid w:val="00231BB4"/>
    <w:rsid w:val="00232061"/>
    <w:rsid w:val="00234073"/>
    <w:rsid w:val="002358FD"/>
    <w:rsid w:val="00243206"/>
    <w:rsid w:val="00256223"/>
    <w:rsid w:val="0026766F"/>
    <w:rsid w:val="002742D8"/>
    <w:rsid w:val="00274F34"/>
    <w:rsid w:val="00282794"/>
    <w:rsid w:val="00282F97"/>
    <w:rsid w:val="002866BA"/>
    <w:rsid w:val="0028674E"/>
    <w:rsid w:val="0028772F"/>
    <w:rsid w:val="0029571E"/>
    <w:rsid w:val="002A142C"/>
    <w:rsid w:val="002A3555"/>
    <w:rsid w:val="002A4B55"/>
    <w:rsid w:val="002A54FC"/>
    <w:rsid w:val="002A6A46"/>
    <w:rsid w:val="002A7C8D"/>
    <w:rsid w:val="002B2F75"/>
    <w:rsid w:val="002B76F3"/>
    <w:rsid w:val="002C10A0"/>
    <w:rsid w:val="002C4E1D"/>
    <w:rsid w:val="002C7C9E"/>
    <w:rsid w:val="002C7DCE"/>
    <w:rsid w:val="002D3190"/>
    <w:rsid w:val="002D34D2"/>
    <w:rsid w:val="002D5C31"/>
    <w:rsid w:val="002E170E"/>
    <w:rsid w:val="002E58BD"/>
    <w:rsid w:val="002E76F9"/>
    <w:rsid w:val="002F76B2"/>
    <w:rsid w:val="003078F4"/>
    <w:rsid w:val="0031295C"/>
    <w:rsid w:val="00312AC0"/>
    <w:rsid w:val="003141C7"/>
    <w:rsid w:val="00324E69"/>
    <w:rsid w:val="0033165A"/>
    <w:rsid w:val="00337717"/>
    <w:rsid w:val="00337F3C"/>
    <w:rsid w:val="00343F28"/>
    <w:rsid w:val="00351BBF"/>
    <w:rsid w:val="00356BE1"/>
    <w:rsid w:val="0036347C"/>
    <w:rsid w:val="00364E30"/>
    <w:rsid w:val="00365344"/>
    <w:rsid w:val="00367F9C"/>
    <w:rsid w:val="00374BF1"/>
    <w:rsid w:val="00381D44"/>
    <w:rsid w:val="003821D6"/>
    <w:rsid w:val="00384A53"/>
    <w:rsid w:val="00384C40"/>
    <w:rsid w:val="003953CF"/>
    <w:rsid w:val="003A711C"/>
    <w:rsid w:val="003B2084"/>
    <w:rsid w:val="003B2C7E"/>
    <w:rsid w:val="003B63B9"/>
    <w:rsid w:val="003D46C2"/>
    <w:rsid w:val="003E47D9"/>
    <w:rsid w:val="003E72BA"/>
    <w:rsid w:val="003E77E7"/>
    <w:rsid w:val="00416EE0"/>
    <w:rsid w:val="004216CD"/>
    <w:rsid w:val="00424C9A"/>
    <w:rsid w:val="0042648F"/>
    <w:rsid w:val="0043106E"/>
    <w:rsid w:val="0043216B"/>
    <w:rsid w:val="00443575"/>
    <w:rsid w:val="00453A35"/>
    <w:rsid w:val="00475093"/>
    <w:rsid w:val="00476B6B"/>
    <w:rsid w:val="00480D74"/>
    <w:rsid w:val="00481516"/>
    <w:rsid w:val="00492BFB"/>
    <w:rsid w:val="00493494"/>
    <w:rsid w:val="0049494C"/>
    <w:rsid w:val="00496359"/>
    <w:rsid w:val="00496BC5"/>
    <w:rsid w:val="004979B8"/>
    <w:rsid w:val="004A15E9"/>
    <w:rsid w:val="004A553E"/>
    <w:rsid w:val="004A756A"/>
    <w:rsid w:val="004B20FE"/>
    <w:rsid w:val="004B45F8"/>
    <w:rsid w:val="004B4D21"/>
    <w:rsid w:val="004C3223"/>
    <w:rsid w:val="004E58B6"/>
    <w:rsid w:val="00504C26"/>
    <w:rsid w:val="00505583"/>
    <w:rsid w:val="00511384"/>
    <w:rsid w:val="0051200F"/>
    <w:rsid w:val="0051544E"/>
    <w:rsid w:val="00535775"/>
    <w:rsid w:val="0055190A"/>
    <w:rsid w:val="005623CE"/>
    <w:rsid w:val="00571A98"/>
    <w:rsid w:val="005768B6"/>
    <w:rsid w:val="005817DD"/>
    <w:rsid w:val="00587924"/>
    <w:rsid w:val="00587F9A"/>
    <w:rsid w:val="0059389B"/>
    <w:rsid w:val="005A0E2D"/>
    <w:rsid w:val="005A247A"/>
    <w:rsid w:val="005A61A7"/>
    <w:rsid w:val="005B09CE"/>
    <w:rsid w:val="005B2C18"/>
    <w:rsid w:val="005B3BFC"/>
    <w:rsid w:val="005B5D57"/>
    <w:rsid w:val="005B7837"/>
    <w:rsid w:val="005C1830"/>
    <w:rsid w:val="005C2796"/>
    <w:rsid w:val="005C2D7D"/>
    <w:rsid w:val="005C5391"/>
    <w:rsid w:val="005D09BF"/>
    <w:rsid w:val="005D2DA8"/>
    <w:rsid w:val="005D604A"/>
    <w:rsid w:val="005E38D7"/>
    <w:rsid w:val="005E5A0C"/>
    <w:rsid w:val="005F5D90"/>
    <w:rsid w:val="006043A3"/>
    <w:rsid w:val="00611D81"/>
    <w:rsid w:val="006152B4"/>
    <w:rsid w:val="00620FA9"/>
    <w:rsid w:val="00630BDF"/>
    <w:rsid w:val="00631599"/>
    <w:rsid w:val="006324B0"/>
    <w:rsid w:val="00633483"/>
    <w:rsid w:val="00635EF5"/>
    <w:rsid w:val="006416F1"/>
    <w:rsid w:val="00641826"/>
    <w:rsid w:val="00646205"/>
    <w:rsid w:val="006528FA"/>
    <w:rsid w:val="00656A9D"/>
    <w:rsid w:val="0066279A"/>
    <w:rsid w:val="00664246"/>
    <w:rsid w:val="006769F0"/>
    <w:rsid w:val="00677092"/>
    <w:rsid w:val="00677F45"/>
    <w:rsid w:val="0068793C"/>
    <w:rsid w:val="00691B18"/>
    <w:rsid w:val="00694C8B"/>
    <w:rsid w:val="006A32BF"/>
    <w:rsid w:val="006A330D"/>
    <w:rsid w:val="006A786B"/>
    <w:rsid w:val="006B371B"/>
    <w:rsid w:val="006B58EF"/>
    <w:rsid w:val="006C1D14"/>
    <w:rsid w:val="006C24EC"/>
    <w:rsid w:val="006D4791"/>
    <w:rsid w:val="006E260C"/>
    <w:rsid w:val="006E547E"/>
    <w:rsid w:val="006E68C9"/>
    <w:rsid w:val="006E7106"/>
    <w:rsid w:val="006F6829"/>
    <w:rsid w:val="00702F7D"/>
    <w:rsid w:val="00706C2F"/>
    <w:rsid w:val="00707F2C"/>
    <w:rsid w:val="00711544"/>
    <w:rsid w:val="007173F6"/>
    <w:rsid w:val="00741412"/>
    <w:rsid w:val="00746218"/>
    <w:rsid w:val="00750142"/>
    <w:rsid w:val="007520E3"/>
    <w:rsid w:val="007556E3"/>
    <w:rsid w:val="0075584F"/>
    <w:rsid w:val="0076083E"/>
    <w:rsid w:val="007700B2"/>
    <w:rsid w:val="007718A8"/>
    <w:rsid w:val="00771B52"/>
    <w:rsid w:val="00783C92"/>
    <w:rsid w:val="00786029"/>
    <w:rsid w:val="00786A8F"/>
    <w:rsid w:val="00787879"/>
    <w:rsid w:val="007954BB"/>
    <w:rsid w:val="007A6237"/>
    <w:rsid w:val="007B2AF2"/>
    <w:rsid w:val="007B37A6"/>
    <w:rsid w:val="007C3047"/>
    <w:rsid w:val="007F1374"/>
    <w:rsid w:val="007F3897"/>
    <w:rsid w:val="007F5C9E"/>
    <w:rsid w:val="00806A5C"/>
    <w:rsid w:val="008134A0"/>
    <w:rsid w:val="008142C5"/>
    <w:rsid w:val="00816614"/>
    <w:rsid w:val="00824937"/>
    <w:rsid w:val="00825632"/>
    <w:rsid w:val="00827FCE"/>
    <w:rsid w:val="0084142D"/>
    <w:rsid w:val="00842337"/>
    <w:rsid w:val="008427DA"/>
    <w:rsid w:val="0084290B"/>
    <w:rsid w:val="00843BC9"/>
    <w:rsid w:val="008455EF"/>
    <w:rsid w:val="008477A0"/>
    <w:rsid w:val="00850422"/>
    <w:rsid w:val="00851731"/>
    <w:rsid w:val="0086110C"/>
    <w:rsid w:val="008615B7"/>
    <w:rsid w:val="008653AF"/>
    <w:rsid w:val="00867250"/>
    <w:rsid w:val="008849C4"/>
    <w:rsid w:val="00884BBB"/>
    <w:rsid w:val="0088534E"/>
    <w:rsid w:val="0088568F"/>
    <w:rsid w:val="00890A9A"/>
    <w:rsid w:val="008913ED"/>
    <w:rsid w:val="00894357"/>
    <w:rsid w:val="00897CDF"/>
    <w:rsid w:val="008A03A5"/>
    <w:rsid w:val="008A630E"/>
    <w:rsid w:val="008B2127"/>
    <w:rsid w:val="008B2B17"/>
    <w:rsid w:val="008B43E8"/>
    <w:rsid w:val="008B4E7F"/>
    <w:rsid w:val="008B5E66"/>
    <w:rsid w:val="008C78F7"/>
    <w:rsid w:val="008D3AC6"/>
    <w:rsid w:val="008D4699"/>
    <w:rsid w:val="008D502C"/>
    <w:rsid w:val="008D5FC7"/>
    <w:rsid w:val="008D618E"/>
    <w:rsid w:val="008D6B1E"/>
    <w:rsid w:val="008E0280"/>
    <w:rsid w:val="008E7993"/>
    <w:rsid w:val="009035F8"/>
    <w:rsid w:val="00923948"/>
    <w:rsid w:val="009462EB"/>
    <w:rsid w:val="00946501"/>
    <w:rsid w:val="00950AEC"/>
    <w:rsid w:val="009658F6"/>
    <w:rsid w:val="00970D44"/>
    <w:rsid w:val="00970EC0"/>
    <w:rsid w:val="009710C3"/>
    <w:rsid w:val="00971B50"/>
    <w:rsid w:val="00974068"/>
    <w:rsid w:val="00986095"/>
    <w:rsid w:val="00986CFB"/>
    <w:rsid w:val="0098759A"/>
    <w:rsid w:val="00992CD5"/>
    <w:rsid w:val="00993C21"/>
    <w:rsid w:val="00995B8A"/>
    <w:rsid w:val="00995D8C"/>
    <w:rsid w:val="00996607"/>
    <w:rsid w:val="009971AA"/>
    <w:rsid w:val="009A169D"/>
    <w:rsid w:val="009B419A"/>
    <w:rsid w:val="009B7006"/>
    <w:rsid w:val="009C35A7"/>
    <w:rsid w:val="009C374E"/>
    <w:rsid w:val="009C4E75"/>
    <w:rsid w:val="009C4EF5"/>
    <w:rsid w:val="009C5856"/>
    <w:rsid w:val="009C691C"/>
    <w:rsid w:val="009C72B7"/>
    <w:rsid w:val="009D09E0"/>
    <w:rsid w:val="009D20A8"/>
    <w:rsid w:val="009E1794"/>
    <w:rsid w:val="009E2BA3"/>
    <w:rsid w:val="009E633F"/>
    <w:rsid w:val="009F4A68"/>
    <w:rsid w:val="009F5040"/>
    <w:rsid w:val="009F5E83"/>
    <w:rsid w:val="00A11C58"/>
    <w:rsid w:val="00A12559"/>
    <w:rsid w:val="00A137AC"/>
    <w:rsid w:val="00A1634C"/>
    <w:rsid w:val="00A22516"/>
    <w:rsid w:val="00A312FE"/>
    <w:rsid w:val="00A31359"/>
    <w:rsid w:val="00A47E44"/>
    <w:rsid w:val="00A50194"/>
    <w:rsid w:val="00A72AA1"/>
    <w:rsid w:val="00A84C25"/>
    <w:rsid w:val="00AA1805"/>
    <w:rsid w:val="00AB0BAD"/>
    <w:rsid w:val="00AB455B"/>
    <w:rsid w:val="00AC091D"/>
    <w:rsid w:val="00AC2396"/>
    <w:rsid w:val="00AC3DC3"/>
    <w:rsid w:val="00AD78A1"/>
    <w:rsid w:val="00AE0C3A"/>
    <w:rsid w:val="00AE37F1"/>
    <w:rsid w:val="00AE7F8C"/>
    <w:rsid w:val="00B0029D"/>
    <w:rsid w:val="00B009AF"/>
    <w:rsid w:val="00B01FE6"/>
    <w:rsid w:val="00B04444"/>
    <w:rsid w:val="00B11091"/>
    <w:rsid w:val="00B11C80"/>
    <w:rsid w:val="00B130AB"/>
    <w:rsid w:val="00B17358"/>
    <w:rsid w:val="00B2354A"/>
    <w:rsid w:val="00B242FD"/>
    <w:rsid w:val="00B32CDA"/>
    <w:rsid w:val="00B368DA"/>
    <w:rsid w:val="00B425B5"/>
    <w:rsid w:val="00B47F92"/>
    <w:rsid w:val="00B50ED6"/>
    <w:rsid w:val="00B51521"/>
    <w:rsid w:val="00B54803"/>
    <w:rsid w:val="00B70365"/>
    <w:rsid w:val="00B720E1"/>
    <w:rsid w:val="00B827EF"/>
    <w:rsid w:val="00B87F5F"/>
    <w:rsid w:val="00B95238"/>
    <w:rsid w:val="00B9745A"/>
    <w:rsid w:val="00BA3173"/>
    <w:rsid w:val="00BA3D87"/>
    <w:rsid w:val="00BA635F"/>
    <w:rsid w:val="00BB1DE6"/>
    <w:rsid w:val="00BB31AF"/>
    <w:rsid w:val="00BB3ADD"/>
    <w:rsid w:val="00BB5C6A"/>
    <w:rsid w:val="00BC3762"/>
    <w:rsid w:val="00BC5330"/>
    <w:rsid w:val="00BC7BD4"/>
    <w:rsid w:val="00BD427C"/>
    <w:rsid w:val="00BE1EA0"/>
    <w:rsid w:val="00BE3AC4"/>
    <w:rsid w:val="00BE5DF8"/>
    <w:rsid w:val="00BF342E"/>
    <w:rsid w:val="00BF445F"/>
    <w:rsid w:val="00BF5E74"/>
    <w:rsid w:val="00C055B6"/>
    <w:rsid w:val="00C117D9"/>
    <w:rsid w:val="00C16011"/>
    <w:rsid w:val="00C213F2"/>
    <w:rsid w:val="00C23305"/>
    <w:rsid w:val="00C236B5"/>
    <w:rsid w:val="00C35E0B"/>
    <w:rsid w:val="00C4246A"/>
    <w:rsid w:val="00C47DB4"/>
    <w:rsid w:val="00C47F3A"/>
    <w:rsid w:val="00C526F3"/>
    <w:rsid w:val="00C55022"/>
    <w:rsid w:val="00C55B3E"/>
    <w:rsid w:val="00C565E9"/>
    <w:rsid w:val="00C57806"/>
    <w:rsid w:val="00C62784"/>
    <w:rsid w:val="00C6439E"/>
    <w:rsid w:val="00C71483"/>
    <w:rsid w:val="00C81A6F"/>
    <w:rsid w:val="00C838EC"/>
    <w:rsid w:val="00C83ED0"/>
    <w:rsid w:val="00C85150"/>
    <w:rsid w:val="00C87A2B"/>
    <w:rsid w:val="00C90EB6"/>
    <w:rsid w:val="00C930F6"/>
    <w:rsid w:val="00C97FDB"/>
    <w:rsid w:val="00CA0424"/>
    <w:rsid w:val="00CA1A0D"/>
    <w:rsid w:val="00CA471F"/>
    <w:rsid w:val="00CB375C"/>
    <w:rsid w:val="00CC4B00"/>
    <w:rsid w:val="00CC624E"/>
    <w:rsid w:val="00CD2F81"/>
    <w:rsid w:val="00CE485B"/>
    <w:rsid w:val="00CE5A73"/>
    <w:rsid w:val="00CF3205"/>
    <w:rsid w:val="00CF3ECA"/>
    <w:rsid w:val="00CF4522"/>
    <w:rsid w:val="00D065EA"/>
    <w:rsid w:val="00D1109D"/>
    <w:rsid w:val="00D11B8C"/>
    <w:rsid w:val="00D16E24"/>
    <w:rsid w:val="00D245BD"/>
    <w:rsid w:val="00D30BE9"/>
    <w:rsid w:val="00D35AE6"/>
    <w:rsid w:val="00D36FA7"/>
    <w:rsid w:val="00D40B64"/>
    <w:rsid w:val="00D41AE6"/>
    <w:rsid w:val="00D41FDC"/>
    <w:rsid w:val="00D45C81"/>
    <w:rsid w:val="00D50865"/>
    <w:rsid w:val="00D518BF"/>
    <w:rsid w:val="00D563A7"/>
    <w:rsid w:val="00D57499"/>
    <w:rsid w:val="00D57575"/>
    <w:rsid w:val="00D57DBE"/>
    <w:rsid w:val="00D57F62"/>
    <w:rsid w:val="00D61ABC"/>
    <w:rsid w:val="00D6498F"/>
    <w:rsid w:val="00D65897"/>
    <w:rsid w:val="00D727CE"/>
    <w:rsid w:val="00D840A4"/>
    <w:rsid w:val="00D849FF"/>
    <w:rsid w:val="00D91CF3"/>
    <w:rsid w:val="00D95BE8"/>
    <w:rsid w:val="00DA3EBA"/>
    <w:rsid w:val="00DA4F74"/>
    <w:rsid w:val="00DA7E99"/>
    <w:rsid w:val="00DC07E0"/>
    <w:rsid w:val="00DC4241"/>
    <w:rsid w:val="00DC5B9E"/>
    <w:rsid w:val="00DC7162"/>
    <w:rsid w:val="00DD670E"/>
    <w:rsid w:val="00DE2F8D"/>
    <w:rsid w:val="00DE5E8F"/>
    <w:rsid w:val="00DE78E4"/>
    <w:rsid w:val="00DF145D"/>
    <w:rsid w:val="00DF2115"/>
    <w:rsid w:val="00DF33D7"/>
    <w:rsid w:val="00E02597"/>
    <w:rsid w:val="00E02AEF"/>
    <w:rsid w:val="00E07989"/>
    <w:rsid w:val="00E130DE"/>
    <w:rsid w:val="00E2045F"/>
    <w:rsid w:val="00E26D2F"/>
    <w:rsid w:val="00E314F8"/>
    <w:rsid w:val="00E35041"/>
    <w:rsid w:val="00E45E79"/>
    <w:rsid w:val="00E52524"/>
    <w:rsid w:val="00E6285C"/>
    <w:rsid w:val="00E708E2"/>
    <w:rsid w:val="00E766C1"/>
    <w:rsid w:val="00E77E85"/>
    <w:rsid w:val="00E803A2"/>
    <w:rsid w:val="00E8157E"/>
    <w:rsid w:val="00E92A88"/>
    <w:rsid w:val="00E94FC7"/>
    <w:rsid w:val="00EA1C5E"/>
    <w:rsid w:val="00EA7245"/>
    <w:rsid w:val="00EB2F59"/>
    <w:rsid w:val="00EB5F40"/>
    <w:rsid w:val="00EC22DA"/>
    <w:rsid w:val="00EC7247"/>
    <w:rsid w:val="00ED046D"/>
    <w:rsid w:val="00ED06F5"/>
    <w:rsid w:val="00ED284F"/>
    <w:rsid w:val="00ED30A6"/>
    <w:rsid w:val="00ED6DA5"/>
    <w:rsid w:val="00ED71F2"/>
    <w:rsid w:val="00EF027E"/>
    <w:rsid w:val="00EF2F46"/>
    <w:rsid w:val="00EF34B2"/>
    <w:rsid w:val="00EF7CD9"/>
    <w:rsid w:val="00F06C45"/>
    <w:rsid w:val="00F10764"/>
    <w:rsid w:val="00F24846"/>
    <w:rsid w:val="00F33214"/>
    <w:rsid w:val="00F3597E"/>
    <w:rsid w:val="00F36267"/>
    <w:rsid w:val="00F47E6A"/>
    <w:rsid w:val="00F5067A"/>
    <w:rsid w:val="00F544B9"/>
    <w:rsid w:val="00F54CBA"/>
    <w:rsid w:val="00F55E5F"/>
    <w:rsid w:val="00F56AB8"/>
    <w:rsid w:val="00F61E8D"/>
    <w:rsid w:val="00F644C5"/>
    <w:rsid w:val="00F64513"/>
    <w:rsid w:val="00F74A73"/>
    <w:rsid w:val="00F760A3"/>
    <w:rsid w:val="00F7610D"/>
    <w:rsid w:val="00F808FB"/>
    <w:rsid w:val="00F81D03"/>
    <w:rsid w:val="00F8639F"/>
    <w:rsid w:val="00F903E3"/>
    <w:rsid w:val="00F90C12"/>
    <w:rsid w:val="00F9213A"/>
    <w:rsid w:val="00F97BE0"/>
    <w:rsid w:val="00FA13CF"/>
    <w:rsid w:val="00FA1740"/>
    <w:rsid w:val="00FA56A3"/>
    <w:rsid w:val="00FC3226"/>
    <w:rsid w:val="00FC6587"/>
    <w:rsid w:val="00FD139A"/>
    <w:rsid w:val="00FD4E5C"/>
    <w:rsid w:val="00FF2C9C"/>
    <w:rsid w:val="00FF3487"/>
    <w:rsid w:val="00FF6F5E"/>
    <w:rsid w:val="00FF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BF0B8F"/>
  <w15:docId w15:val="{7C85D3DF-1D21-4C07-AD73-E97AB0434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5C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5C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5C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5C81"/>
    <w:rPr>
      <w:sz w:val="18"/>
      <w:szCs w:val="18"/>
    </w:rPr>
  </w:style>
  <w:style w:type="table" w:styleId="a7">
    <w:name w:val="Table Grid"/>
    <w:basedOn w:val="a1"/>
    <w:uiPriority w:val="59"/>
    <w:qFormat/>
    <w:rsid w:val="00B1109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B11091"/>
    <w:pPr>
      <w:ind w:firstLineChars="200" w:firstLine="420"/>
    </w:pPr>
    <w:rPr>
      <w:rFonts w:ascii="Calibri" w:eastAsia="宋体" w:hAnsi="Calibri" w:cs="Times New Roman"/>
    </w:rPr>
  </w:style>
  <w:style w:type="character" w:styleId="a9">
    <w:name w:val="annotation reference"/>
    <w:basedOn w:val="a0"/>
    <w:uiPriority w:val="99"/>
    <w:semiHidden/>
    <w:unhideWhenUsed/>
    <w:rsid w:val="00B11091"/>
    <w:rPr>
      <w:sz w:val="21"/>
      <w:szCs w:val="21"/>
    </w:rPr>
  </w:style>
  <w:style w:type="paragraph" w:styleId="aa">
    <w:name w:val="annotation text"/>
    <w:basedOn w:val="a"/>
    <w:link w:val="ab"/>
    <w:unhideWhenUsed/>
    <w:rsid w:val="00B11091"/>
    <w:pPr>
      <w:widowControl/>
      <w:spacing w:line="360" w:lineRule="auto"/>
      <w:jc w:val="left"/>
    </w:pPr>
    <w:rPr>
      <w:rFonts w:ascii="Calibri" w:eastAsia="宋体" w:hAnsi="Calibri" w:cs="Times New Roman"/>
      <w:bCs/>
      <w:kern w:val="0"/>
      <w:sz w:val="24"/>
    </w:rPr>
  </w:style>
  <w:style w:type="character" w:customStyle="1" w:styleId="ab">
    <w:name w:val="批注文字 字符"/>
    <w:basedOn w:val="a0"/>
    <w:link w:val="aa"/>
    <w:uiPriority w:val="99"/>
    <w:semiHidden/>
    <w:rsid w:val="00B11091"/>
    <w:rPr>
      <w:rFonts w:ascii="Calibri" w:eastAsia="宋体" w:hAnsi="Calibri" w:cs="Times New Roman"/>
      <w:bCs/>
      <w:kern w:val="0"/>
      <w:sz w:val="24"/>
    </w:rPr>
  </w:style>
  <w:style w:type="paragraph" w:styleId="ac">
    <w:name w:val="Balloon Text"/>
    <w:basedOn w:val="a"/>
    <w:link w:val="ad"/>
    <w:uiPriority w:val="99"/>
    <w:semiHidden/>
    <w:unhideWhenUsed/>
    <w:rsid w:val="00B11091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B11091"/>
    <w:rPr>
      <w:sz w:val="18"/>
      <w:szCs w:val="18"/>
    </w:rPr>
  </w:style>
  <w:style w:type="character" w:customStyle="1" w:styleId="Char">
    <w:name w:val="批注文字 Char"/>
    <w:rsid w:val="00DE2F8D"/>
    <w:rPr>
      <w:rFonts w:ascii="Calibri" w:eastAsia="宋体" w:hAnsi="Calibri" w:cs="Times New Roman"/>
      <w:sz w:val="22"/>
      <w:szCs w:val="22"/>
    </w:rPr>
  </w:style>
  <w:style w:type="paragraph" w:customStyle="1" w:styleId="abiaoge">
    <w:name w:val="a biaoge"/>
    <w:basedOn w:val="ae"/>
    <w:qFormat/>
    <w:rsid w:val="00DE2F8D"/>
    <w:pPr>
      <w:spacing w:line="0" w:lineRule="atLeast"/>
    </w:pPr>
    <w:rPr>
      <w:rFonts w:ascii="Times New Roman" w:eastAsia="宋体" w:hAnsi="Times New Roman" w:cs="Times New Roman"/>
      <w:szCs w:val="21"/>
    </w:rPr>
  </w:style>
  <w:style w:type="paragraph" w:styleId="ae">
    <w:name w:val="No Spacing"/>
    <w:uiPriority w:val="1"/>
    <w:qFormat/>
    <w:rsid w:val="00DE2F8D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DE7B8A-D099-4BF0-9DF5-C5072D212C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152</Words>
  <Characters>870</Characters>
  <Application>Microsoft Office Word</Application>
  <DocSecurity>0</DocSecurity>
  <Lines>7</Lines>
  <Paragraphs>2</Paragraphs>
  <ScaleCrop>false</ScaleCrop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韩鸿璨</dc:creator>
  <cp:lastModifiedBy>tian</cp:lastModifiedBy>
  <cp:revision>27</cp:revision>
  <dcterms:created xsi:type="dcterms:W3CDTF">2019-05-28T05:55:00Z</dcterms:created>
  <dcterms:modified xsi:type="dcterms:W3CDTF">2021-09-06T07:11:00Z</dcterms:modified>
</cp:coreProperties>
</file>