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3679C9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3679C9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3679C9" w:rsidRDefault="006B4E40" w:rsidP="006B4E4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1D2DC5" w:rsidRPr="003679C9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3679C9">
        <w:rPr>
          <w:rFonts w:ascii="Times New Roman" w:eastAsia="黑体" w:hAnsi="Times New Roman" w:cs="Times New Roman"/>
          <w:sz w:val="24"/>
          <w:szCs w:val="24"/>
        </w:rPr>
        <w:t>1.</w:t>
      </w:r>
      <w:r w:rsidRPr="003679C9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3679C9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6D169B" w:rsidRPr="006D169B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1C31">
              <w:rPr>
                <w:rFonts w:ascii="Times New Roman" w:eastAsia="宋体" w:hAnsi="Times New Roman" w:cs="Times New Roman"/>
                <w:sz w:val="24"/>
                <w:szCs w:val="24"/>
              </w:rPr>
              <w:t>卡维地</w:t>
            </w:r>
            <w:proofErr w:type="gramStart"/>
            <w:r w:rsidRPr="004D1C31">
              <w:rPr>
                <w:rFonts w:ascii="Times New Roman" w:eastAsia="宋体" w:hAnsi="Times New Roman" w:cs="Times New Roman"/>
                <w:sz w:val="24"/>
                <w:szCs w:val="24"/>
              </w:rPr>
              <w:t>洛</w:t>
            </w:r>
            <w:proofErr w:type="gramEnd"/>
            <w:r w:rsidRPr="004D1C31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6D169B" w:rsidRPr="006D169B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1C31">
              <w:rPr>
                <w:rFonts w:ascii="Times New Roman" w:eastAsia="宋体" w:hAnsi="Times New Roman" w:cs="Times New Roman"/>
                <w:sz w:val="24"/>
                <w:szCs w:val="24"/>
              </w:rPr>
              <w:t>Carvedilol Tablets</w:t>
            </w:r>
          </w:p>
        </w:tc>
      </w:tr>
      <w:tr w:rsidR="006D169B" w:rsidRPr="006D169B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D169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="001D2DC5"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；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="00A37661"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6D169B" w:rsidRPr="006D169B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1C31">
              <w:rPr>
                <w:rFonts w:ascii="Times New Roman" w:eastAsia="宋体" w:hAnsi="Times New Roman" w:cs="Times New Roman"/>
                <w:sz w:val="24"/>
                <w:szCs w:val="24"/>
              </w:rPr>
              <w:t>齐鲁制药有限公司</w:t>
            </w:r>
          </w:p>
        </w:tc>
      </w:tr>
      <w:tr w:rsidR="006D169B" w:rsidRPr="006D169B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山东省济南市高新区旅游路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8888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6D169B" w:rsidRPr="006D169B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1C31">
              <w:rPr>
                <w:rFonts w:ascii="Times New Roman" w:eastAsia="宋体" w:hAnsi="Times New Roman" w:cs="Times New Roman"/>
                <w:sz w:val="24"/>
                <w:szCs w:val="24"/>
              </w:rPr>
              <w:t>齐鲁制药有限公司</w:t>
            </w:r>
          </w:p>
        </w:tc>
      </w:tr>
      <w:tr w:rsidR="006D169B" w:rsidRPr="006D169B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1C3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4D1C31">
              <w:rPr>
                <w:rFonts w:ascii="Times New Roman" w:eastAsia="宋体" w:hAnsi="Times New Roman" w:cs="Times New Roman"/>
                <w:spacing w:val="-2"/>
                <w:kern w:val="0"/>
                <w:sz w:val="24"/>
                <w:szCs w:val="24"/>
                <w:lang w:val="zh-CN"/>
              </w:rPr>
              <w:t>H20000100</w:t>
            </w:r>
          </w:p>
        </w:tc>
      </w:tr>
      <w:tr w:rsidR="006D169B" w:rsidRPr="006D169B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6D169B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6D169B" w:rsidRPr="006D169B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6D169B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1D2DC5"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D2DC5" w:rsidRPr="006D169B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1D2DC5"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D2DC5" w:rsidRPr="006D169B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6D169B" w:rsidRPr="006D169B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20H0064DF1</w:t>
            </w:r>
          </w:p>
        </w:tc>
      </w:tr>
      <w:tr w:rsidR="006D169B" w:rsidRPr="006D169B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FA7E5C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 w:colFirst="0" w:colLast="1"/>
            <w:r w:rsidRPr="00FA7E5C">
              <w:rPr>
                <w:rFonts w:ascii="宋体" w:eastAsia="宋体" w:hAnsi="宋体" w:cs="Times New Roman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FA7E5C" w:rsidRDefault="00FA7E5C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FA7E5C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6D169B" w:rsidRPr="006D169B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FA7E5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FA7E5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符合要求</w:t>
            </w:r>
          </w:p>
        </w:tc>
      </w:tr>
      <w:tr w:rsidR="006D169B" w:rsidRPr="006D169B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FA7E5C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FA7E5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FA7E5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FA7E5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D2DC5" w:rsidRPr="00FA7E5C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A7E5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bookmarkEnd w:id="0"/>
      <w:tr w:rsidR="006D169B" w:rsidRPr="006D169B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B202000219-01</w:t>
            </w:r>
          </w:p>
        </w:tc>
      </w:tr>
      <w:tr w:rsidR="006D169B" w:rsidRPr="006D169B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兰州大学第一医院</w:t>
            </w:r>
          </w:p>
        </w:tc>
      </w:tr>
      <w:tr w:rsidR="006D169B" w:rsidRPr="006D169B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桂林谷科林科技有限公司</w:t>
            </w:r>
          </w:p>
        </w:tc>
      </w:tr>
      <w:tr w:rsidR="006D169B" w:rsidRPr="006D169B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江苏万略医药科技有限公司</w:t>
            </w:r>
          </w:p>
        </w:tc>
      </w:tr>
      <w:tr w:rsidR="006D169B" w:rsidRPr="006D169B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6D169B" w:rsidRDefault="006D169B" w:rsidP="00A3766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随机、开放、单剂量、两周期、两序列、交叉</w:t>
            </w:r>
            <w:r w:rsidR="00A37661" w:rsidRPr="006D169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、空腹及餐后试验</w:t>
            </w:r>
          </w:p>
        </w:tc>
      </w:tr>
      <w:tr w:rsidR="006D169B" w:rsidRPr="006D169B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检测物质</w:t>
            </w:r>
          </w:p>
        </w:tc>
        <w:tc>
          <w:tcPr>
            <w:tcW w:w="5051" w:type="dxa"/>
            <w:vAlign w:val="center"/>
          </w:tcPr>
          <w:p w:rsidR="001D2DC5" w:rsidRPr="006D169B" w:rsidRDefault="00BA4A0E" w:rsidP="00BA4A0E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血浆中</w:t>
            </w:r>
            <w:r w:rsidR="006D169B"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卡维地</w:t>
            </w:r>
            <w:proofErr w:type="gramStart"/>
            <w:r w:rsidR="006D169B"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洛</w:t>
            </w:r>
            <w:proofErr w:type="gramEnd"/>
            <w:r w:rsidR="006D169B"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</w:t>
            </w:r>
            <w:r w:rsidR="006D169B"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4-</w:t>
            </w:r>
            <w:r w:rsidR="006D169B"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羟苯基卡维地</w:t>
            </w:r>
            <w:proofErr w:type="gramStart"/>
            <w:r w:rsidR="006D169B"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洛</w:t>
            </w:r>
            <w:proofErr w:type="gramEnd"/>
          </w:p>
        </w:tc>
      </w:tr>
      <w:tr w:rsidR="006D169B" w:rsidRPr="006D169B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检测方法</w:t>
            </w:r>
          </w:p>
        </w:tc>
        <w:tc>
          <w:tcPr>
            <w:tcW w:w="5051" w:type="dxa"/>
            <w:vAlign w:val="center"/>
          </w:tcPr>
          <w:p w:rsidR="001D2DC5" w:rsidRPr="006D169B" w:rsidRDefault="001D2DC5" w:rsidP="006B4E40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UPLC-MS/MS</w:t>
            </w:r>
            <w:r w:rsidRPr="006D16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</w:t>
            </w:r>
          </w:p>
        </w:tc>
      </w:tr>
      <w:tr w:rsidR="006D169B" w:rsidRPr="006D169B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6D169B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051" w:type="dxa"/>
            <w:vAlign w:val="center"/>
          </w:tcPr>
          <w:p w:rsidR="001D2DC5" w:rsidRPr="006D169B" w:rsidRDefault="006F0C3B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169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1D2DC5" w:rsidRPr="006D169B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D169B">
        <w:rPr>
          <w:rFonts w:ascii="Times New Roman" w:eastAsia="黑体" w:hAnsi="Times New Roman" w:cs="Times New Roman"/>
          <w:sz w:val="24"/>
          <w:szCs w:val="24"/>
        </w:rPr>
        <w:lastRenderedPageBreak/>
        <w:t>2.</w:t>
      </w:r>
      <w:r w:rsidRPr="006D169B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Pr="006D169B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6D169B">
        <w:rPr>
          <w:rFonts w:ascii="Times New Roman" w:eastAsia="宋体" w:hAnsi="Times New Roman" w:cs="Times New Roman"/>
          <w:sz w:val="24"/>
          <w:szCs w:val="24"/>
        </w:rPr>
        <w:t>表</w:t>
      </w:r>
      <w:r w:rsidRPr="006D169B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6D169B" w:rsidRPr="006D169B">
        <w:rPr>
          <w:rFonts w:ascii="Times New Roman" w:eastAsia="宋体" w:hAnsi="Times New Roman" w:cs="Times New Roman"/>
          <w:kern w:val="0"/>
          <w:sz w:val="24"/>
          <w:szCs w:val="24"/>
        </w:rPr>
        <w:t>卡维地</w:t>
      </w:r>
      <w:proofErr w:type="gramStart"/>
      <w:r w:rsidR="006D169B" w:rsidRPr="006D169B">
        <w:rPr>
          <w:rFonts w:ascii="Times New Roman" w:eastAsia="宋体" w:hAnsi="Times New Roman" w:cs="Times New Roman"/>
          <w:kern w:val="0"/>
          <w:sz w:val="24"/>
          <w:szCs w:val="24"/>
        </w:rPr>
        <w:t>洛</w:t>
      </w:r>
      <w:proofErr w:type="gramEnd"/>
      <w:r w:rsidR="006D169B" w:rsidRPr="006D169B">
        <w:rPr>
          <w:rFonts w:ascii="Times New Roman" w:eastAsia="宋体" w:hAnsi="Times New Roman" w:cs="Times New Roman"/>
          <w:kern w:val="0"/>
          <w:sz w:val="24"/>
          <w:szCs w:val="24"/>
        </w:rPr>
        <w:t>片</w:t>
      </w:r>
      <w:r w:rsidRPr="006D169B">
        <w:rPr>
          <w:rFonts w:ascii="Times New Roman" w:eastAsia="宋体" w:hAnsi="Times New Roman" w:cs="Times New Roman"/>
          <w:sz w:val="24"/>
          <w:szCs w:val="24"/>
        </w:rPr>
        <w:t>（</w:t>
      </w:r>
      <w:r w:rsidR="006D169B" w:rsidRPr="006D169B">
        <w:rPr>
          <w:rFonts w:ascii="Times New Roman" w:eastAsia="宋体" w:hAnsi="Times New Roman" w:cs="Times New Roman"/>
          <w:sz w:val="24"/>
          <w:szCs w:val="24"/>
        </w:rPr>
        <w:t>10</w:t>
      </w:r>
      <w:r w:rsidR="00BA4A0E" w:rsidRPr="006D169B">
        <w:rPr>
          <w:rFonts w:ascii="Times New Roman" w:eastAsia="宋体" w:hAnsi="Times New Roman" w:cs="Times New Roman"/>
          <w:sz w:val="24"/>
          <w:szCs w:val="24"/>
        </w:rPr>
        <w:t>mg</w:t>
      </w:r>
      <w:r w:rsidRPr="006D169B">
        <w:rPr>
          <w:rFonts w:ascii="Times New Roman" w:eastAsia="宋体" w:hAnsi="Times New Roman" w:cs="Times New Roman"/>
          <w:sz w:val="24"/>
          <w:szCs w:val="24"/>
        </w:rPr>
        <w:t>）体内</w:t>
      </w:r>
      <w:r w:rsidR="006D169B" w:rsidRPr="006D169B">
        <w:rPr>
          <w:rFonts w:ascii="Times New Roman" w:eastAsia="宋体" w:hAnsi="Times New Roman" w:cs="Times New Roman"/>
          <w:kern w:val="0"/>
          <w:sz w:val="24"/>
          <w:szCs w:val="24"/>
        </w:rPr>
        <w:t>卡维地</w:t>
      </w:r>
      <w:proofErr w:type="gramStart"/>
      <w:r w:rsidR="006D169B" w:rsidRPr="006D169B">
        <w:rPr>
          <w:rFonts w:ascii="Times New Roman" w:eastAsia="宋体" w:hAnsi="Times New Roman" w:cs="Times New Roman"/>
          <w:kern w:val="0"/>
          <w:sz w:val="24"/>
          <w:szCs w:val="24"/>
        </w:rPr>
        <w:t>洛</w:t>
      </w:r>
      <w:proofErr w:type="gramEnd"/>
      <w:r w:rsidRPr="006D169B">
        <w:rPr>
          <w:rFonts w:ascii="Times New Roman" w:eastAsia="宋体" w:hAnsi="Times New Roman" w:cs="Times New Roman"/>
          <w:sz w:val="24"/>
          <w:szCs w:val="24"/>
        </w:rPr>
        <w:t>平均生物等效性统计结果</w:t>
      </w:r>
    </w:p>
    <w:tbl>
      <w:tblPr>
        <w:tblStyle w:val="a7"/>
        <w:tblW w:w="9464" w:type="dxa"/>
        <w:jc w:val="center"/>
        <w:tblLook w:val="04A0" w:firstRow="1" w:lastRow="0" w:firstColumn="1" w:lastColumn="0" w:noHBand="0" w:noVBand="1"/>
      </w:tblPr>
      <w:tblGrid>
        <w:gridCol w:w="1392"/>
        <w:gridCol w:w="2377"/>
        <w:gridCol w:w="1236"/>
        <w:gridCol w:w="1236"/>
        <w:gridCol w:w="1270"/>
        <w:gridCol w:w="1953"/>
      </w:tblGrid>
      <w:tr w:rsidR="006D169B" w:rsidRPr="006D169B" w:rsidTr="00A37661">
        <w:trPr>
          <w:trHeight w:val="405"/>
          <w:jc w:val="center"/>
        </w:trPr>
        <w:tc>
          <w:tcPr>
            <w:tcW w:w="735" w:type="pct"/>
            <w:vMerge w:val="restart"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空腹</w:t>
            </w:r>
            <w:r w:rsidRPr="006D169B">
              <w:rPr>
                <w:sz w:val="24"/>
                <w:szCs w:val="24"/>
              </w:rPr>
              <w:t>BE</w:t>
            </w:r>
          </w:p>
          <w:p w:rsidR="001D2DC5" w:rsidRPr="006D169B" w:rsidRDefault="001D2DC5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（</w:t>
            </w:r>
            <w:r w:rsidR="00BA4A0E" w:rsidRPr="006D169B">
              <w:rPr>
                <w:sz w:val="24"/>
                <w:szCs w:val="24"/>
              </w:rPr>
              <w:t>N=</w:t>
            </w:r>
            <w:r w:rsidR="006D169B" w:rsidRPr="006D169B">
              <w:rPr>
                <w:sz w:val="24"/>
                <w:szCs w:val="24"/>
              </w:rPr>
              <w:t>42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1256" w:type="pct"/>
            <w:vMerge w:val="restart"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参数</w:t>
            </w:r>
          </w:p>
        </w:tc>
        <w:tc>
          <w:tcPr>
            <w:tcW w:w="1977" w:type="pct"/>
            <w:gridSpan w:val="3"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90%CI</w:t>
            </w:r>
          </w:p>
        </w:tc>
      </w:tr>
      <w:tr w:rsidR="006D169B" w:rsidRPr="006D169B" w:rsidTr="00A37661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T</w:t>
            </w:r>
          </w:p>
        </w:tc>
        <w:tc>
          <w:tcPr>
            <w:tcW w:w="653" w:type="pct"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R</w:t>
            </w:r>
          </w:p>
        </w:tc>
        <w:tc>
          <w:tcPr>
            <w:tcW w:w="671" w:type="pct"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（</w:t>
            </w:r>
            <w:r w:rsidRPr="006D169B">
              <w:rPr>
                <w:sz w:val="24"/>
                <w:szCs w:val="24"/>
              </w:rPr>
              <w:t>T/R</w:t>
            </w:r>
            <w:r w:rsidRPr="006D169B">
              <w:rPr>
                <w:sz w:val="24"/>
                <w:szCs w:val="24"/>
              </w:rPr>
              <w:t>）</w:t>
            </w:r>
            <w:r w:rsidRPr="006D169B">
              <w:rPr>
                <w:sz w:val="24"/>
                <w:szCs w:val="24"/>
              </w:rPr>
              <w:t>%</w:t>
            </w:r>
          </w:p>
        </w:tc>
        <w:tc>
          <w:tcPr>
            <w:tcW w:w="1032" w:type="pct"/>
            <w:vMerge/>
            <w:vAlign w:val="center"/>
          </w:tcPr>
          <w:p w:rsidR="001D2DC5" w:rsidRPr="006D169B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6D169B" w:rsidRPr="006D169B" w:rsidTr="00B33E7B">
        <w:trPr>
          <w:trHeight w:val="441"/>
          <w:jc w:val="center"/>
        </w:trPr>
        <w:tc>
          <w:tcPr>
            <w:tcW w:w="735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AUC</w:t>
            </w:r>
            <w:r w:rsidRPr="006D169B">
              <w:rPr>
                <w:sz w:val="24"/>
                <w:szCs w:val="24"/>
                <w:vertAlign w:val="subscript"/>
              </w:rPr>
              <w:t>0-t</w:t>
            </w:r>
            <w:r w:rsidRPr="006D169B">
              <w:rPr>
                <w:sz w:val="24"/>
                <w:szCs w:val="24"/>
              </w:rPr>
              <w:t>（</w:t>
            </w:r>
            <w:proofErr w:type="spellStart"/>
            <w:r w:rsidRPr="006D169B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6D169B">
              <w:rPr>
                <w:kern w:val="2"/>
                <w:sz w:val="24"/>
                <w:szCs w:val="24"/>
              </w:rPr>
              <w:t>/mL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243.77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256.44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95.06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89.27%~101.23%</w:t>
            </w:r>
          </w:p>
        </w:tc>
      </w:tr>
      <w:tr w:rsidR="006D169B" w:rsidRPr="006D169B" w:rsidTr="00B33E7B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AUC</w:t>
            </w:r>
            <w:r w:rsidRPr="006D169B">
              <w:rPr>
                <w:sz w:val="24"/>
                <w:szCs w:val="24"/>
                <w:vertAlign w:val="subscript"/>
              </w:rPr>
              <w:t>0-∞</w:t>
            </w:r>
            <w:r w:rsidRPr="006D169B">
              <w:rPr>
                <w:sz w:val="24"/>
                <w:szCs w:val="24"/>
              </w:rPr>
              <w:t>（</w:t>
            </w:r>
            <w:proofErr w:type="spellStart"/>
            <w:r w:rsidRPr="006D169B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6D169B">
              <w:rPr>
                <w:kern w:val="2"/>
                <w:sz w:val="24"/>
                <w:szCs w:val="24"/>
              </w:rPr>
              <w:t>/mL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259.91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270.96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95.92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90.50%~101.67%</w:t>
            </w:r>
          </w:p>
        </w:tc>
      </w:tr>
      <w:tr w:rsidR="006D169B" w:rsidRPr="006D169B" w:rsidTr="006E748E">
        <w:trPr>
          <w:trHeight w:val="406"/>
          <w:jc w:val="center"/>
        </w:trPr>
        <w:tc>
          <w:tcPr>
            <w:tcW w:w="735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proofErr w:type="spellStart"/>
            <w:r w:rsidRPr="006D169B">
              <w:rPr>
                <w:sz w:val="24"/>
                <w:szCs w:val="24"/>
              </w:rPr>
              <w:t>C</w:t>
            </w:r>
            <w:r w:rsidRPr="006D169B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6D169B">
              <w:rPr>
                <w:sz w:val="24"/>
                <w:szCs w:val="24"/>
              </w:rPr>
              <w:t>（</w:t>
            </w:r>
            <w:r w:rsidRPr="006D169B">
              <w:rPr>
                <w:kern w:val="2"/>
                <w:sz w:val="24"/>
                <w:szCs w:val="24"/>
              </w:rPr>
              <w:t>ng/mL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64.18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69.99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91.70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69B" w:rsidRPr="006D169B" w:rsidRDefault="006D169B" w:rsidP="006D169B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6D169B">
              <w:rPr>
                <w:snapToGrid w:val="0"/>
                <w:spacing w:val="-4"/>
                <w:sz w:val="24"/>
                <w:szCs w:val="24"/>
              </w:rPr>
              <w:t>83.33%~100.92%</w:t>
            </w:r>
          </w:p>
        </w:tc>
      </w:tr>
      <w:tr w:rsidR="006D169B" w:rsidRPr="006D169B" w:rsidTr="00A37661">
        <w:trPr>
          <w:trHeight w:val="405"/>
          <w:jc w:val="center"/>
        </w:trPr>
        <w:tc>
          <w:tcPr>
            <w:tcW w:w="735" w:type="pct"/>
            <w:vMerge w:val="restar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餐后</w:t>
            </w:r>
            <w:r w:rsidRPr="006D169B">
              <w:rPr>
                <w:sz w:val="24"/>
                <w:szCs w:val="24"/>
              </w:rPr>
              <w:t>BE</w:t>
            </w:r>
            <w:r w:rsidRPr="006D169B">
              <w:rPr>
                <w:sz w:val="24"/>
                <w:szCs w:val="24"/>
              </w:rPr>
              <w:t>（受试制剂</w:t>
            </w:r>
            <w:r w:rsidRPr="006D169B">
              <w:rPr>
                <w:sz w:val="24"/>
                <w:szCs w:val="24"/>
              </w:rPr>
              <w:t>N=50</w:t>
            </w:r>
            <w:r w:rsidRPr="006D169B">
              <w:rPr>
                <w:sz w:val="24"/>
                <w:szCs w:val="24"/>
              </w:rPr>
              <w:t>，参比制剂</w:t>
            </w:r>
          </w:p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N=49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1256" w:type="pct"/>
            <w:vMerge w:val="restar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参数</w:t>
            </w:r>
          </w:p>
        </w:tc>
        <w:tc>
          <w:tcPr>
            <w:tcW w:w="1977" w:type="pct"/>
            <w:gridSpan w:val="3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90%CI</w:t>
            </w:r>
          </w:p>
        </w:tc>
      </w:tr>
      <w:tr w:rsidR="006D169B" w:rsidRPr="006D169B" w:rsidTr="00A37661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T</w:t>
            </w:r>
          </w:p>
        </w:tc>
        <w:tc>
          <w:tcPr>
            <w:tcW w:w="653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R</w:t>
            </w:r>
          </w:p>
        </w:tc>
        <w:tc>
          <w:tcPr>
            <w:tcW w:w="671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（</w:t>
            </w:r>
            <w:r w:rsidRPr="006D169B">
              <w:rPr>
                <w:sz w:val="24"/>
                <w:szCs w:val="24"/>
              </w:rPr>
              <w:t>T/R</w:t>
            </w:r>
            <w:r w:rsidRPr="006D169B">
              <w:rPr>
                <w:sz w:val="24"/>
                <w:szCs w:val="24"/>
              </w:rPr>
              <w:t>）</w:t>
            </w:r>
            <w:r w:rsidRPr="006D169B">
              <w:rPr>
                <w:sz w:val="24"/>
                <w:szCs w:val="24"/>
              </w:rPr>
              <w:t>%</w:t>
            </w:r>
          </w:p>
        </w:tc>
        <w:tc>
          <w:tcPr>
            <w:tcW w:w="1032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</w:tr>
      <w:tr w:rsidR="006D169B" w:rsidRPr="006D169B" w:rsidTr="004712B6">
        <w:trPr>
          <w:trHeight w:val="434"/>
          <w:jc w:val="center"/>
        </w:trPr>
        <w:tc>
          <w:tcPr>
            <w:tcW w:w="735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AUC</w:t>
            </w:r>
            <w:r w:rsidRPr="006D169B">
              <w:rPr>
                <w:sz w:val="24"/>
                <w:szCs w:val="24"/>
                <w:vertAlign w:val="subscript"/>
              </w:rPr>
              <w:t>0-t</w:t>
            </w:r>
            <w:r w:rsidRPr="006D169B">
              <w:rPr>
                <w:sz w:val="24"/>
                <w:szCs w:val="24"/>
              </w:rPr>
              <w:t>（</w:t>
            </w:r>
            <w:proofErr w:type="spellStart"/>
            <w:r w:rsidRPr="006D169B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6D169B">
              <w:rPr>
                <w:kern w:val="2"/>
                <w:sz w:val="24"/>
                <w:szCs w:val="24"/>
              </w:rPr>
              <w:t>/mL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243.47</w:t>
            </w:r>
          </w:p>
        </w:tc>
        <w:tc>
          <w:tcPr>
            <w:tcW w:w="653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256.44</w:t>
            </w:r>
          </w:p>
        </w:tc>
        <w:tc>
          <w:tcPr>
            <w:tcW w:w="671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94.94</w:t>
            </w:r>
          </w:p>
        </w:tc>
        <w:tc>
          <w:tcPr>
            <w:tcW w:w="1032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89.02%~101.26%</w:t>
            </w:r>
          </w:p>
        </w:tc>
      </w:tr>
      <w:tr w:rsidR="006D169B" w:rsidRPr="006D169B" w:rsidTr="00C60B00">
        <w:trPr>
          <w:trHeight w:val="464"/>
          <w:jc w:val="center"/>
        </w:trPr>
        <w:tc>
          <w:tcPr>
            <w:tcW w:w="735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AUC</w:t>
            </w:r>
            <w:r w:rsidRPr="006D169B">
              <w:rPr>
                <w:sz w:val="24"/>
                <w:szCs w:val="24"/>
                <w:vertAlign w:val="subscript"/>
              </w:rPr>
              <w:t>0-∞</w:t>
            </w:r>
            <w:r w:rsidRPr="006D169B">
              <w:rPr>
                <w:sz w:val="24"/>
                <w:szCs w:val="24"/>
              </w:rPr>
              <w:t>（</w:t>
            </w:r>
            <w:proofErr w:type="spellStart"/>
            <w:r w:rsidRPr="006D169B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6D169B">
              <w:rPr>
                <w:kern w:val="2"/>
                <w:sz w:val="24"/>
                <w:szCs w:val="24"/>
              </w:rPr>
              <w:t>/mL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259.40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270.96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95.73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90.20%~101.61%</w:t>
            </w:r>
          </w:p>
        </w:tc>
      </w:tr>
      <w:tr w:rsidR="006D169B" w:rsidRPr="006D169B" w:rsidTr="004712B6">
        <w:trPr>
          <w:trHeight w:val="493"/>
          <w:jc w:val="center"/>
        </w:trPr>
        <w:tc>
          <w:tcPr>
            <w:tcW w:w="735" w:type="pct"/>
            <w:vMerge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proofErr w:type="spellStart"/>
            <w:r w:rsidRPr="006D169B">
              <w:rPr>
                <w:sz w:val="24"/>
                <w:szCs w:val="24"/>
              </w:rPr>
              <w:t>C</w:t>
            </w:r>
            <w:r w:rsidRPr="006D169B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6D169B">
              <w:rPr>
                <w:sz w:val="24"/>
                <w:szCs w:val="24"/>
              </w:rPr>
              <w:t>（</w:t>
            </w:r>
            <w:r w:rsidRPr="006D169B">
              <w:rPr>
                <w:kern w:val="2"/>
                <w:sz w:val="24"/>
                <w:szCs w:val="24"/>
              </w:rPr>
              <w:t>ng/mL</w:t>
            </w:r>
            <w:r w:rsidRPr="006D169B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64.06</w:t>
            </w:r>
          </w:p>
        </w:tc>
        <w:tc>
          <w:tcPr>
            <w:tcW w:w="653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69.99</w:t>
            </w:r>
          </w:p>
        </w:tc>
        <w:tc>
          <w:tcPr>
            <w:tcW w:w="671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sz w:val="24"/>
                <w:szCs w:val="24"/>
              </w:rPr>
              <w:t>91.53</w:t>
            </w:r>
          </w:p>
        </w:tc>
        <w:tc>
          <w:tcPr>
            <w:tcW w:w="1032" w:type="pct"/>
            <w:vAlign w:val="center"/>
          </w:tcPr>
          <w:p w:rsidR="006D169B" w:rsidRPr="006D169B" w:rsidRDefault="006D169B" w:rsidP="006D169B">
            <w:pPr>
              <w:jc w:val="center"/>
              <w:rPr>
                <w:sz w:val="24"/>
                <w:szCs w:val="24"/>
              </w:rPr>
            </w:pPr>
            <w:r w:rsidRPr="006D169B">
              <w:rPr>
                <w:kern w:val="2"/>
                <w:sz w:val="24"/>
                <w:szCs w:val="24"/>
              </w:rPr>
              <w:t>82.99%~100.93%</w:t>
            </w:r>
          </w:p>
        </w:tc>
      </w:tr>
    </w:tbl>
    <w:p w:rsidR="001D2DC5" w:rsidRPr="006D169B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D169B">
        <w:rPr>
          <w:rFonts w:ascii="Times New Roman" w:eastAsia="黑体" w:hAnsi="Times New Roman" w:cs="Times New Roman"/>
          <w:sz w:val="24"/>
          <w:szCs w:val="24"/>
        </w:rPr>
        <w:t>3.</w:t>
      </w:r>
      <w:r w:rsidRPr="006D169B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</w:p>
    <w:p w:rsidR="001D2DC5" w:rsidRPr="006D169B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D169B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6D169B" w:rsidRPr="006D169B">
        <w:rPr>
          <w:rFonts w:ascii="Times New Roman" w:eastAsia="宋体" w:hAnsi="Times New Roman" w:cs="Times New Roman" w:hint="eastAsia"/>
          <w:sz w:val="24"/>
          <w:szCs w:val="24"/>
        </w:rPr>
        <w:t>齐鲁制药有限公司</w:t>
      </w:r>
      <w:r w:rsidR="00BA4A0E" w:rsidRPr="006D169B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6D169B" w:rsidRPr="006D169B">
        <w:rPr>
          <w:rFonts w:ascii="Times New Roman" w:eastAsia="宋体" w:hAnsi="Times New Roman" w:cs="Times New Roman" w:hint="eastAsia"/>
          <w:sz w:val="24"/>
          <w:szCs w:val="24"/>
        </w:rPr>
        <w:t>卡维地</w:t>
      </w:r>
      <w:proofErr w:type="gramStart"/>
      <w:r w:rsidR="006D169B" w:rsidRPr="006D169B">
        <w:rPr>
          <w:rFonts w:ascii="Times New Roman" w:eastAsia="宋体" w:hAnsi="Times New Roman" w:cs="Times New Roman" w:hint="eastAsia"/>
          <w:sz w:val="24"/>
          <w:szCs w:val="24"/>
        </w:rPr>
        <w:t>洛</w:t>
      </w:r>
      <w:proofErr w:type="gramEnd"/>
      <w:r w:rsidR="006D169B" w:rsidRPr="006D169B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6D169B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6D169B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1A7E3A" w:rsidRPr="006D169B" w:rsidRDefault="001A7E3A">
      <w:pPr>
        <w:rPr>
          <w:color w:val="FF0000"/>
        </w:rPr>
      </w:pPr>
    </w:p>
    <w:sectPr w:rsidR="001A7E3A" w:rsidRPr="006D169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B4" w:rsidRDefault="00C423B4" w:rsidP="001D2DC5">
      <w:r>
        <w:separator/>
      </w:r>
    </w:p>
  </w:endnote>
  <w:endnote w:type="continuationSeparator" w:id="0">
    <w:p w:rsidR="00C423B4" w:rsidRDefault="00C423B4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B4" w:rsidRDefault="00C423B4" w:rsidP="001D2DC5">
      <w:r>
        <w:separator/>
      </w:r>
    </w:p>
  </w:footnote>
  <w:footnote w:type="continuationSeparator" w:id="0">
    <w:p w:rsidR="00C423B4" w:rsidRDefault="00C423B4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87A3C"/>
    <w:rsid w:val="000D01A2"/>
    <w:rsid w:val="000D6F3A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6F8D"/>
    <w:rsid w:val="00246F34"/>
    <w:rsid w:val="002519B9"/>
    <w:rsid w:val="00255676"/>
    <w:rsid w:val="00276F00"/>
    <w:rsid w:val="00283E13"/>
    <w:rsid w:val="002A3F02"/>
    <w:rsid w:val="003362B9"/>
    <w:rsid w:val="003564CE"/>
    <w:rsid w:val="00361774"/>
    <w:rsid w:val="003679C9"/>
    <w:rsid w:val="003716B8"/>
    <w:rsid w:val="003735CE"/>
    <w:rsid w:val="00374FA0"/>
    <w:rsid w:val="003847FE"/>
    <w:rsid w:val="003A57A3"/>
    <w:rsid w:val="003B7B87"/>
    <w:rsid w:val="003F76F3"/>
    <w:rsid w:val="0041110A"/>
    <w:rsid w:val="004251EA"/>
    <w:rsid w:val="00430A88"/>
    <w:rsid w:val="0043776B"/>
    <w:rsid w:val="00466046"/>
    <w:rsid w:val="0046784F"/>
    <w:rsid w:val="00470EB2"/>
    <w:rsid w:val="004712B6"/>
    <w:rsid w:val="00485719"/>
    <w:rsid w:val="00490E7C"/>
    <w:rsid w:val="004A332F"/>
    <w:rsid w:val="004A3F70"/>
    <w:rsid w:val="004B2BE6"/>
    <w:rsid w:val="004C0B8D"/>
    <w:rsid w:val="004C436C"/>
    <w:rsid w:val="004E6D42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D169B"/>
    <w:rsid w:val="006E6AB4"/>
    <w:rsid w:val="006F0C3B"/>
    <w:rsid w:val="00702BA0"/>
    <w:rsid w:val="00702C30"/>
    <w:rsid w:val="00712FA9"/>
    <w:rsid w:val="00716523"/>
    <w:rsid w:val="00734516"/>
    <w:rsid w:val="00753EA6"/>
    <w:rsid w:val="007631AE"/>
    <w:rsid w:val="007A4A4F"/>
    <w:rsid w:val="007D31CF"/>
    <w:rsid w:val="007E2FFC"/>
    <w:rsid w:val="007F4024"/>
    <w:rsid w:val="008024FA"/>
    <w:rsid w:val="00814D76"/>
    <w:rsid w:val="0082237B"/>
    <w:rsid w:val="00833F16"/>
    <w:rsid w:val="00834A8F"/>
    <w:rsid w:val="0083784A"/>
    <w:rsid w:val="00856ED4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71672"/>
    <w:rsid w:val="009C7321"/>
    <w:rsid w:val="009E441C"/>
    <w:rsid w:val="00A0018B"/>
    <w:rsid w:val="00A37661"/>
    <w:rsid w:val="00A47F2E"/>
    <w:rsid w:val="00A60B13"/>
    <w:rsid w:val="00AA58EF"/>
    <w:rsid w:val="00AB629B"/>
    <w:rsid w:val="00AB7566"/>
    <w:rsid w:val="00AC14A2"/>
    <w:rsid w:val="00AC2F14"/>
    <w:rsid w:val="00AE4105"/>
    <w:rsid w:val="00AF242B"/>
    <w:rsid w:val="00AF3C83"/>
    <w:rsid w:val="00B07F8D"/>
    <w:rsid w:val="00B142F1"/>
    <w:rsid w:val="00B35FEE"/>
    <w:rsid w:val="00B6215F"/>
    <w:rsid w:val="00B8166C"/>
    <w:rsid w:val="00B85D92"/>
    <w:rsid w:val="00B96D43"/>
    <w:rsid w:val="00B96DE8"/>
    <w:rsid w:val="00BA0651"/>
    <w:rsid w:val="00BA13B2"/>
    <w:rsid w:val="00BA4A0E"/>
    <w:rsid w:val="00BB6B6B"/>
    <w:rsid w:val="00C25F17"/>
    <w:rsid w:val="00C32AE4"/>
    <w:rsid w:val="00C345FE"/>
    <w:rsid w:val="00C423B4"/>
    <w:rsid w:val="00C55F88"/>
    <w:rsid w:val="00C724F8"/>
    <w:rsid w:val="00C75DA6"/>
    <w:rsid w:val="00C76D9D"/>
    <w:rsid w:val="00CA2913"/>
    <w:rsid w:val="00CB45F2"/>
    <w:rsid w:val="00CB4993"/>
    <w:rsid w:val="00CB70D9"/>
    <w:rsid w:val="00CC18BD"/>
    <w:rsid w:val="00CE37F3"/>
    <w:rsid w:val="00CF2031"/>
    <w:rsid w:val="00D12291"/>
    <w:rsid w:val="00D273F6"/>
    <w:rsid w:val="00D346CD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798B"/>
    <w:rsid w:val="00FA3CE4"/>
    <w:rsid w:val="00FA7E5C"/>
    <w:rsid w:val="00FB26DC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刘霏霏</cp:lastModifiedBy>
  <cp:revision>33</cp:revision>
  <dcterms:created xsi:type="dcterms:W3CDTF">2018-07-30T06:44:00Z</dcterms:created>
  <dcterms:modified xsi:type="dcterms:W3CDTF">2022-04-14T02:54:00Z</dcterms:modified>
</cp:coreProperties>
</file>