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DC5" w:rsidRPr="00D40A13" w:rsidRDefault="001D2DC5" w:rsidP="006B4E40">
      <w:pPr>
        <w:widowControl/>
        <w:jc w:val="center"/>
        <w:rPr>
          <w:rFonts w:ascii="Times New Roman" w:eastAsia="方正小标宋简体" w:hAnsi="Times New Roman" w:cs="Times New Roman"/>
          <w:sz w:val="32"/>
          <w:szCs w:val="30"/>
        </w:rPr>
      </w:pPr>
      <w:r w:rsidRPr="00D40A13">
        <w:rPr>
          <w:rFonts w:ascii="Times New Roman" w:eastAsia="方正小标宋简体" w:hAnsi="Times New Roman" w:cs="Times New Roman" w:hint="eastAsia"/>
          <w:sz w:val="32"/>
          <w:szCs w:val="30"/>
        </w:rPr>
        <w:t>一致性评价企业研究报告及生物等效性试验数据信息公开</w:t>
      </w:r>
    </w:p>
    <w:p w:rsidR="006B4E40" w:rsidRPr="00D40A13" w:rsidRDefault="006B4E40" w:rsidP="006B4E40">
      <w:pPr>
        <w:widowControl/>
        <w:jc w:val="center"/>
        <w:rPr>
          <w:rFonts w:ascii="Times New Roman" w:eastAsia="宋体" w:hAnsi="Times New Roman" w:cs="Times New Roman"/>
          <w:sz w:val="24"/>
          <w:szCs w:val="24"/>
          <w:u w:val="single"/>
        </w:rPr>
      </w:pPr>
    </w:p>
    <w:p w:rsidR="001D2DC5" w:rsidRPr="00D40A13" w:rsidRDefault="001D2DC5" w:rsidP="00E6792F">
      <w:pPr>
        <w:spacing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D40A13">
        <w:rPr>
          <w:rFonts w:ascii="Times New Roman" w:eastAsia="黑体" w:hAnsi="Times New Roman" w:cs="Times New Roman"/>
          <w:sz w:val="24"/>
          <w:szCs w:val="24"/>
        </w:rPr>
        <w:t>1.</w:t>
      </w:r>
      <w:r w:rsidRPr="00D40A13">
        <w:rPr>
          <w:rFonts w:ascii="Times New Roman" w:eastAsia="黑体" w:hAnsi="Times New Roman" w:cs="Times New Roman" w:hint="eastAsia"/>
          <w:sz w:val="24"/>
          <w:szCs w:val="24"/>
        </w:rPr>
        <w:t>基本情况汇总</w:t>
      </w:r>
      <w:r w:rsidRPr="00D40A13">
        <w:rPr>
          <w:rFonts w:ascii="Times New Roman" w:eastAsia="黑体" w:hAnsi="Times New Roman" w:cs="Times New Roman"/>
          <w:sz w:val="24"/>
          <w:szCs w:val="24"/>
        </w:rPr>
        <w:t>表</w:t>
      </w:r>
    </w:p>
    <w:tbl>
      <w:tblPr>
        <w:tblW w:w="818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34"/>
        <w:gridCol w:w="5051"/>
      </w:tblGrid>
      <w:tr w:rsidR="00D40A13" w:rsidRPr="00D40A13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7631AE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297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氯沙坦钾氢氯噻嗪</w:t>
            </w:r>
            <w:proofErr w:type="gramEnd"/>
            <w:r w:rsidRPr="00297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</w:p>
        </w:tc>
      </w:tr>
      <w:tr w:rsidR="00D40A13" w:rsidRPr="00D40A13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73C9">
              <w:rPr>
                <w:rFonts w:ascii="Times New Roman" w:eastAsia="宋体" w:hAnsi="Times New Roman" w:cs="Times New Roman"/>
                <w:szCs w:val="21"/>
              </w:rPr>
              <w:t>Losartan Potassium and Hydrochlorothiazide Tablets</w:t>
            </w:r>
          </w:p>
        </w:tc>
      </w:tr>
      <w:tr w:rsidR="00D40A13" w:rsidRPr="00D40A13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5051" w:type="dxa"/>
            <w:vAlign w:val="center"/>
          </w:tcPr>
          <w:p w:rsidR="001D2DC5" w:rsidRPr="00D40A13" w:rsidRDefault="006D169B" w:rsidP="006D169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片剂</w:t>
            </w:r>
            <w:r w:rsidR="001D2DC5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；</w:t>
            </w:r>
            <w:r w:rsidR="00D40A13"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每片含氯</w:t>
            </w:r>
            <w:proofErr w:type="gramStart"/>
            <w:r w:rsidR="00D40A13"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沙坦钾</w:t>
            </w:r>
            <w:proofErr w:type="gramEnd"/>
            <w:r w:rsidR="00D40A13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50mg</w:t>
            </w:r>
            <w:r w:rsidR="00D40A13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，氢氯</w:t>
            </w:r>
            <w:proofErr w:type="gramStart"/>
            <w:r w:rsidR="00D40A13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噻嗪</w:t>
            </w:r>
            <w:proofErr w:type="gramEnd"/>
            <w:r w:rsidR="00D40A13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12.5mg</w:t>
            </w:r>
          </w:p>
        </w:tc>
      </w:tr>
      <w:tr w:rsidR="0058289E" w:rsidRPr="0058289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58289E" w:rsidRPr="0058289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江苏省苏州吴中经济开发区民丰路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268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58289E" w:rsidRPr="0058289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苏州东瑞制药有限公司</w:t>
            </w:r>
          </w:p>
        </w:tc>
      </w:tr>
      <w:tr w:rsidR="0058289E" w:rsidRPr="0058289E" w:rsidTr="00E6792F">
        <w:trPr>
          <w:trHeight w:val="54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2973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973C9">
              <w:rPr>
                <w:rFonts w:ascii="Times New Roman" w:eastAsia="宋体" w:hAnsi="Times New Roman" w:cs="Times New Roman"/>
                <w:sz w:val="24"/>
                <w:szCs w:val="24"/>
              </w:rPr>
              <w:t>H20083009</w:t>
            </w:r>
          </w:p>
        </w:tc>
      </w:tr>
      <w:tr w:rsidR="0058289E" w:rsidRPr="0058289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其它上市国家及上市时间</w:t>
            </w:r>
          </w:p>
        </w:tc>
        <w:tc>
          <w:tcPr>
            <w:tcW w:w="5051" w:type="dxa"/>
            <w:vAlign w:val="center"/>
          </w:tcPr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  <w:tr w:rsidR="0058289E" w:rsidRPr="0058289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5051" w:type="dxa"/>
            <w:vAlign w:val="center"/>
          </w:tcPr>
          <w:p w:rsidR="001D2DC5" w:rsidRPr="00D40A13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1D2DC5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</w:p>
          <w:p w:rsidR="001D2DC5" w:rsidRPr="00D40A13" w:rsidRDefault="007631AE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1D2DC5"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8289E" w:rsidRPr="0058289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200431001</w:t>
            </w:r>
          </w:p>
        </w:tc>
      </w:tr>
      <w:tr w:rsidR="0058289E" w:rsidRPr="0058289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FE13D6" w:rsidRDefault="001D2DC5" w:rsidP="001D2DC5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0" w:colLast="1"/>
            <w:r w:rsidRPr="00FE13D6">
              <w:rPr>
                <w:rFonts w:ascii="宋体" w:eastAsia="宋体" w:hAnsi="宋体" w:cs="Times New Roman"/>
                <w:sz w:val="24"/>
                <w:szCs w:val="24"/>
              </w:rPr>
              <w:t>检验机构</w:t>
            </w:r>
          </w:p>
        </w:tc>
        <w:tc>
          <w:tcPr>
            <w:tcW w:w="5051" w:type="dxa"/>
            <w:vAlign w:val="center"/>
          </w:tcPr>
          <w:p w:rsidR="001D2DC5" w:rsidRPr="00FE13D6" w:rsidRDefault="00FE13D6" w:rsidP="006B4E40">
            <w:pPr>
              <w:rPr>
                <w:rFonts w:ascii="宋体" w:eastAsia="宋体" w:hAnsi="宋体" w:cs="Times New Roman"/>
                <w:sz w:val="24"/>
                <w:szCs w:val="24"/>
              </w:rPr>
            </w:pPr>
            <w:r w:rsidRPr="00FE13D6">
              <w:rPr>
                <w:rFonts w:ascii="宋体" w:eastAsia="宋体" w:hAnsi="宋体" w:cs="Times New Roman" w:hint="eastAsia"/>
                <w:sz w:val="24"/>
                <w:szCs w:val="24"/>
              </w:rPr>
              <w:t>苏州东瑞制药有限公司</w:t>
            </w:r>
          </w:p>
        </w:tc>
      </w:tr>
      <w:bookmarkEnd w:id="0"/>
      <w:tr w:rsidR="0058289E" w:rsidRPr="0058289E" w:rsidTr="00E6792F">
        <w:trPr>
          <w:trHeight w:val="515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5051" w:type="dxa"/>
            <w:vAlign w:val="center"/>
          </w:tcPr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符合要求</w:t>
            </w:r>
          </w:p>
        </w:tc>
      </w:tr>
      <w:tr w:rsidR="0058289E" w:rsidRPr="0058289E" w:rsidTr="00E6792F">
        <w:trPr>
          <w:trHeight w:val="782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完成的临床研究内容</w:t>
            </w:r>
          </w:p>
        </w:tc>
        <w:tc>
          <w:tcPr>
            <w:tcW w:w="5051" w:type="dxa"/>
            <w:vAlign w:val="center"/>
          </w:tcPr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  <w:u w:val="single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58289E" w:rsidRPr="0058289E" w:rsidTr="00E6792F">
        <w:trPr>
          <w:trHeight w:val="506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D40A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D40A1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B202000104-01</w:t>
            </w:r>
          </w:p>
        </w:tc>
      </w:tr>
      <w:tr w:rsidR="0058289E" w:rsidRPr="0058289E" w:rsidTr="00E6792F">
        <w:trPr>
          <w:trHeight w:val="477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D40A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D40A1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达孜县君合科技有限公司</w:t>
            </w:r>
          </w:p>
        </w:tc>
      </w:tr>
      <w:tr w:rsidR="0058289E" w:rsidRPr="0058289E" w:rsidTr="00E6792F">
        <w:trPr>
          <w:trHeight w:val="422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D40A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5051" w:type="dxa"/>
            <w:vAlign w:val="center"/>
          </w:tcPr>
          <w:p w:rsidR="001D2DC5" w:rsidRPr="00D40A13" w:rsidRDefault="006D169B" w:rsidP="00D40A1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桂林谷科林科技有限公司</w:t>
            </w:r>
          </w:p>
        </w:tc>
      </w:tr>
      <w:tr w:rsidR="0058289E" w:rsidRPr="0058289E" w:rsidTr="00E6792F">
        <w:trPr>
          <w:trHeight w:val="497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D40A13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D40A1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苏州国辰生物科技股份有限公司</w:t>
            </w:r>
          </w:p>
        </w:tc>
      </w:tr>
      <w:tr w:rsidR="0058289E" w:rsidRPr="0058289E" w:rsidTr="00E6792F">
        <w:trPr>
          <w:trHeight w:val="470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5051" w:type="dxa"/>
            <w:vAlign w:val="center"/>
          </w:tcPr>
          <w:p w:rsidR="001D2DC5" w:rsidRPr="00D40A13" w:rsidRDefault="00D40A13" w:rsidP="00A37661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空腹试验：随机、开放、单剂量、两制剂、三周期、部分重复交叉</w:t>
            </w:r>
          </w:p>
          <w:p w:rsidR="00D40A13" w:rsidRPr="00D40A13" w:rsidRDefault="00D40A13" w:rsidP="00A37661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餐后试验</w:t>
            </w:r>
            <w:r w:rsidRPr="00D40A1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：</w:t>
            </w:r>
            <w:r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随机、开放、单剂量、两制剂、四周期、完全重复交叉</w:t>
            </w:r>
          </w:p>
        </w:tc>
      </w:tr>
      <w:tr w:rsidR="0058289E" w:rsidRPr="0058289E" w:rsidTr="00E6792F">
        <w:trPr>
          <w:trHeight w:val="475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D40A13">
            <w:pPr>
              <w:jc w:val="righ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检测物质</w:t>
            </w:r>
          </w:p>
        </w:tc>
        <w:tc>
          <w:tcPr>
            <w:tcW w:w="5051" w:type="dxa"/>
            <w:vAlign w:val="center"/>
          </w:tcPr>
          <w:p w:rsidR="001D2DC5" w:rsidRPr="00D40A13" w:rsidRDefault="00BA4A0E" w:rsidP="00D40A13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血浆中</w:t>
            </w:r>
            <w:r w:rsidR="00D40A13"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氢氯</w:t>
            </w:r>
            <w:proofErr w:type="gramStart"/>
            <w:r w:rsidR="00D40A13"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噻嗪</w:t>
            </w:r>
            <w:proofErr w:type="gramEnd"/>
            <w:r w:rsidR="00D40A13"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、</w:t>
            </w:r>
            <w:proofErr w:type="gramStart"/>
            <w:r w:rsidR="00D40A13"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氯沙坦及氯沙坦</w:t>
            </w:r>
            <w:proofErr w:type="gramEnd"/>
            <w:r w:rsidR="00D40A13" w:rsidRPr="00D40A13">
              <w:rPr>
                <w:rFonts w:ascii="Times New Roman" w:eastAsia="宋体" w:hAnsi="Times New Roman" w:cs="Times New Roman" w:hint="eastAsia"/>
                <w:bCs/>
                <w:sz w:val="24"/>
                <w:szCs w:val="24"/>
              </w:rPr>
              <w:t>羧酸</w:t>
            </w:r>
          </w:p>
        </w:tc>
      </w:tr>
      <w:tr w:rsidR="0058289E" w:rsidRPr="0058289E" w:rsidTr="00E6792F">
        <w:trPr>
          <w:trHeight w:val="466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lastRenderedPageBreak/>
              <w:t>检测方法</w:t>
            </w:r>
          </w:p>
        </w:tc>
        <w:tc>
          <w:tcPr>
            <w:tcW w:w="5051" w:type="dxa"/>
            <w:vAlign w:val="center"/>
          </w:tcPr>
          <w:p w:rsidR="001D2DC5" w:rsidRPr="00D40A13" w:rsidRDefault="001D2DC5" w:rsidP="006B4E40">
            <w:pP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D4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UPLC-MS/MS</w:t>
            </w:r>
            <w:r w:rsidRPr="00D40A1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法</w:t>
            </w:r>
          </w:p>
        </w:tc>
      </w:tr>
      <w:tr w:rsidR="0058289E" w:rsidRPr="0058289E" w:rsidTr="00E6792F">
        <w:trPr>
          <w:trHeight w:val="486"/>
          <w:jc w:val="center"/>
        </w:trPr>
        <w:tc>
          <w:tcPr>
            <w:tcW w:w="3134" w:type="dxa"/>
            <w:vAlign w:val="center"/>
          </w:tcPr>
          <w:p w:rsidR="001D2DC5" w:rsidRPr="00D40A13" w:rsidRDefault="001D2DC5" w:rsidP="001D2DC5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临床研究豁免情况</w:t>
            </w:r>
          </w:p>
        </w:tc>
        <w:tc>
          <w:tcPr>
            <w:tcW w:w="5051" w:type="dxa"/>
            <w:vAlign w:val="center"/>
          </w:tcPr>
          <w:p w:rsidR="001D2DC5" w:rsidRPr="00D40A13" w:rsidRDefault="006F0C3B" w:rsidP="006B4E40">
            <w:pPr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40A13">
              <w:rPr>
                <w:rFonts w:ascii="Times New Roman" w:eastAsia="宋体" w:hAnsi="Times New Roman" w:cs="Times New Roman"/>
                <w:sz w:val="24"/>
                <w:szCs w:val="24"/>
              </w:rPr>
              <w:t>不适用</w:t>
            </w:r>
          </w:p>
        </w:tc>
      </w:tr>
    </w:tbl>
    <w:p w:rsidR="001D2DC5" w:rsidRPr="00D40A13" w:rsidRDefault="001D2DC5" w:rsidP="001669A3">
      <w:pPr>
        <w:spacing w:beforeLines="100" w:before="312" w:afterLines="50" w:after="156"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D40A13">
        <w:rPr>
          <w:rFonts w:ascii="Times New Roman" w:eastAsia="黑体" w:hAnsi="Times New Roman" w:cs="Times New Roman"/>
          <w:sz w:val="24"/>
          <w:szCs w:val="24"/>
        </w:rPr>
        <w:t>2.</w:t>
      </w:r>
      <w:r w:rsidRPr="00D40A13">
        <w:rPr>
          <w:rFonts w:ascii="Times New Roman" w:eastAsia="黑体" w:hAnsi="Times New Roman" w:cs="Times New Roman" w:hint="eastAsia"/>
          <w:sz w:val="24"/>
          <w:szCs w:val="24"/>
        </w:rPr>
        <w:t>生物等效性研究结果</w:t>
      </w:r>
    </w:p>
    <w:p w:rsidR="001D2DC5" w:rsidRDefault="001D2DC5" w:rsidP="00694247">
      <w:pPr>
        <w:spacing w:beforeLines="50" w:before="156"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D40A13">
        <w:rPr>
          <w:rFonts w:ascii="Times New Roman" w:eastAsia="宋体" w:hAnsi="Times New Roman" w:cs="Times New Roman"/>
          <w:sz w:val="24"/>
          <w:szCs w:val="24"/>
        </w:rPr>
        <w:t>表</w:t>
      </w:r>
      <w:r w:rsidRPr="00D40A13">
        <w:rPr>
          <w:rFonts w:ascii="Times New Roman" w:eastAsia="宋体" w:hAnsi="Times New Roman" w:cs="Times New Roman"/>
          <w:sz w:val="24"/>
          <w:szCs w:val="24"/>
        </w:rPr>
        <w:t xml:space="preserve">1. </w:t>
      </w:r>
      <w:proofErr w:type="gramStart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氯沙坦钾氢氯噻嗪</w:t>
      </w:r>
      <w:proofErr w:type="gramEnd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D40A13">
        <w:rPr>
          <w:rFonts w:ascii="Times New Roman" w:eastAsia="宋体" w:hAnsi="Times New Roman" w:cs="Times New Roman"/>
          <w:sz w:val="24"/>
          <w:szCs w:val="24"/>
        </w:rPr>
        <w:t>（</w:t>
      </w:r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每片含氯</w:t>
      </w:r>
      <w:proofErr w:type="gramStart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沙坦钾</w:t>
      </w:r>
      <w:proofErr w:type="gramEnd"/>
      <w:r w:rsidR="00D40A13" w:rsidRPr="00D40A13">
        <w:rPr>
          <w:rFonts w:ascii="Times New Roman" w:eastAsia="宋体" w:hAnsi="Times New Roman" w:cs="Times New Roman"/>
          <w:sz w:val="24"/>
          <w:szCs w:val="24"/>
        </w:rPr>
        <w:t>50mg</w:t>
      </w:r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gramStart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氢氯噻嗪</w:t>
      </w:r>
      <w:proofErr w:type="gramEnd"/>
      <w:r w:rsidR="00D40A13" w:rsidRPr="00D40A13">
        <w:rPr>
          <w:rFonts w:ascii="Times New Roman" w:eastAsia="宋体" w:hAnsi="Times New Roman" w:cs="Times New Roman"/>
          <w:sz w:val="24"/>
          <w:szCs w:val="24"/>
        </w:rPr>
        <w:t>12.5mg</w:t>
      </w:r>
      <w:r w:rsidRPr="00D40A13">
        <w:rPr>
          <w:rFonts w:ascii="Times New Roman" w:eastAsia="宋体" w:hAnsi="Times New Roman" w:cs="Times New Roman"/>
          <w:sz w:val="24"/>
          <w:szCs w:val="24"/>
        </w:rPr>
        <w:t>）体内</w:t>
      </w:r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氢氯</w:t>
      </w:r>
      <w:proofErr w:type="gramStart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噻嗪</w:t>
      </w:r>
      <w:proofErr w:type="gramEnd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、</w:t>
      </w:r>
      <w:proofErr w:type="gramStart"/>
      <w:r w:rsidR="00D40A13" w:rsidRPr="00D40A13">
        <w:rPr>
          <w:rFonts w:ascii="Times New Roman" w:eastAsia="宋体" w:hAnsi="Times New Roman" w:cs="Times New Roman" w:hint="eastAsia"/>
          <w:sz w:val="24"/>
          <w:szCs w:val="24"/>
        </w:rPr>
        <w:t>氯沙坦</w:t>
      </w:r>
      <w:proofErr w:type="gramEnd"/>
      <w:r w:rsidRPr="00D40A13">
        <w:rPr>
          <w:rFonts w:ascii="Times New Roman" w:eastAsia="宋体" w:hAnsi="Times New Roman" w:cs="Times New Roman"/>
          <w:sz w:val="24"/>
          <w:szCs w:val="24"/>
        </w:rPr>
        <w:t>生物等效性统计结果</w:t>
      </w:r>
    </w:p>
    <w:p w:rsidR="00D40A13" w:rsidRPr="00D40A13" w:rsidRDefault="00D40A13" w:rsidP="00D40A13">
      <w:pPr>
        <w:spacing w:beforeLines="50" w:before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r w:rsidRPr="00D40A13">
        <w:rPr>
          <w:rFonts w:ascii="Times New Roman" w:eastAsia="宋体" w:hAnsi="Times New Roman" w:cs="Times New Roman" w:hint="eastAsia"/>
          <w:b/>
          <w:sz w:val="24"/>
          <w:szCs w:val="24"/>
        </w:rPr>
        <w:t>氢氯</w:t>
      </w:r>
      <w:proofErr w:type="gramStart"/>
      <w:r w:rsidRPr="00D40A13">
        <w:rPr>
          <w:rFonts w:ascii="Times New Roman" w:eastAsia="宋体" w:hAnsi="Times New Roman" w:cs="Times New Roman" w:hint="eastAsia"/>
          <w:b/>
          <w:sz w:val="24"/>
          <w:szCs w:val="24"/>
        </w:rPr>
        <w:t>噻嗪</w:t>
      </w:r>
      <w:proofErr w:type="gramEnd"/>
    </w:p>
    <w:tbl>
      <w:tblPr>
        <w:tblStyle w:val="a7"/>
        <w:tblW w:w="9464" w:type="dxa"/>
        <w:jc w:val="center"/>
        <w:tblLook w:val="04A0" w:firstRow="1" w:lastRow="0" w:firstColumn="1" w:lastColumn="0" w:noHBand="0" w:noVBand="1"/>
      </w:tblPr>
      <w:tblGrid>
        <w:gridCol w:w="1390"/>
        <w:gridCol w:w="2376"/>
        <w:gridCol w:w="1236"/>
        <w:gridCol w:w="1236"/>
        <w:gridCol w:w="1270"/>
        <w:gridCol w:w="1956"/>
      </w:tblGrid>
      <w:tr w:rsidR="0058289E" w:rsidRPr="00A5531E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空腹</w:t>
            </w:r>
            <w:r w:rsidRPr="00A5531E">
              <w:rPr>
                <w:sz w:val="24"/>
                <w:szCs w:val="24"/>
              </w:rPr>
              <w:t>BE</w:t>
            </w:r>
          </w:p>
          <w:p w:rsidR="001D2DC5" w:rsidRPr="00A5531E" w:rsidRDefault="001D2DC5" w:rsidP="00FA527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（</w:t>
            </w:r>
            <w:r w:rsidR="00BA4A0E" w:rsidRPr="00A5531E">
              <w:rPr>
                <w:sz w:val="24"/>
                <w:szCs w:val="24"/>
              </w:rPr>
              <w:t>N=</w:t>
            </w:r>
            <w:r w:rsidR="00FA5270" w:rsidRPr="00A5531E">
              <w:rPr>
                <w:sz w:val="24"/>
                <w:szCs w:val="24"/>
              </w:rPr>
              <w:t>39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90%CI</w:t>
            </w:r>
          </w:p>
        </w:tc>
      </w:tr>
      <w:tr w:rsidR="0058289E" w:rsidRPr="00A5531E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（</w:t>
            </w:r>
            <w:r w:rsidRPr="00A5531E">
              <w:rPr>
                <w:sz w:val="24"/>
                <w:szCs w:val="24"/>
              </w:rPr>
              <w:t>T/R</w:t>
            </w:r>
            <w:r w:rsidRPr="00A5531E">
              <w:rPr>
                <w:sz w:val="24"/>
                <w:szCs w:val="24"/>
              </w:rPr>
              <w:t>）</w:t>
            </w:r>
            <w:r w:rsidRPr="00A5531E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1D2DC5" w:rsidRPr="00A5531E" w:rsidRDefault="001D2DC5" w:rsidP="006B4E40">
            <w:pPr>
              <w:jc w:val="center"/>
              <w:rPr>
                <w:sz w:val="24"/>
                <w:szCs w:val="24"/>
              </w:rPr>
            </w:pPr>
          </w:p>
        </w:tc>
      </w:tr>
      <w:tr w:rsidR="00FA5270" w:rsidRPr="00A5531E" w:rsidTr="00FA5270">
        <w:trPr>
          <w:trHeight w:val="441"/>
          <w:jc w:val="center"/>
        </w:trPr>
        <w:tc>
          <w:tcPr>
            <w:tcW w:w="735" w:type="pct"/>
            <w:vMerge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AUC</w:t>
            </w:r>
            <w:r w:rsidRPr="00A5531E">
              <w:rPr>
                <w:sz w:val="24"/>
                <w:szCs w:val="24"/>
                <w:vertAlign w:val="subscript"/>
              </w:rPr>
              <w:t>0-t</w:t>
            </w:r>
            <w:r w:rsidRPr="00A5531E">
              <w:rPr>
                <w:sz w:val="24"/>
                <w:szCs w:val="24"/>
              </w:rPr>
              <w:t>（</w:t>
            </w:r>
            <w:proofErr w:type="spellStart"/>
            <w:r w:rsidRPr="00A5531E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A5531E">
              <w:rPr>
                <w:kern w:val="2"/>
                <w:sz w:val="24"/>
                <w:szCs w:val="24"/>
              </w:rPr>
              <w:t>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641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647</w:t>
            </w:r>
          </w:p>
        </w:tc>
        <w:tc>
          <w:tcPr>
            <w:tcW w:w="671" w:type="pct"/>
            <w:vAlign w:val="center"/>
          </w:tcPr>
          <w:p w:rsidR="00FA5270" w:rsidRPr="00A5531E" w:rsidRDefault="00FA5270" w:rsidP="00FA5270">
            <w:pPr>
              <w:adjustRightInd w:val="0"/>
              <w:ind w:rightChars="42" w:right="88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99.08</w:t>
            </w:r>
          </w:p>
        </w:tc>
        <w:tc>
          <w:tcPr>
            <w:tcW w:w="1032" w:type="pct"/>
            <w:vAlign w:val="center"/>
          </w:tcPr>
          <w:p w:rsidR="00FA5270" w:rsidRPr="00A5531E" w:rsidRDefault="00FA5270" w:rsidP="00FA5270">
            <w:pPr>
              <w:adjustRightInd w:val="0"/>
              <w:ind w:rightChars="88" w:right="185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(95.47, 102.83)</w:t>
            </w:r>
          </w:p>
        </w:tc>
      </w:tr>
      <w:tr w:rsidR="00FA5270" w:rsidRPr="00A5531E" w:rsidTr="00FA5270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AUC</w:t>
            </w:r>
            <w:r w:rsidRPr="00A5531E">
              <w:rPr>
                <w:sz w:val="24"/>
                <w:szCs w:val="24"/>
                <w:vertAlign w:val="subscript"/>
              </w:rPr>
              <w:t>0-∞</w:t>
            </w:r>
            <w:r w:rsidRPr="00A5531E">
              <w:rPr>
                <w:sz w:val="24"/>
                <w:szCs w:val="24"/>
              </w:rPr>
              <w:t>（</w:t>
            </w:r>
            <w:proofErr w:type="spellStart"/>
            <w:r w:rsidRPr="00A5531E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A5531E">
              <w:rPr>
                <w:kern w:val="2"/>
                <w:sz w:val="24"/>
                <w:szCs w:val="24"/>
              </w:rPr>
              <w:t>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662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667</w:t>
            </w:r>
          </w:p>
        </w:tc>
        <w:tc>
          <w:tcPr>
            <w:tcW w:w="671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99.28</w:t>
            </w:r>
          </w:p>
        </w:tc>
        <w:tc>
          <w:tcPr>
            <w:tcW w:w="1032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(95.82, 102.86)</w:t>
            </w:r>
          </w:p>
        </w:tc>
      </w:tr>
      <w:tr w:rsidR="00FA5270" w:rsidRPr="00A5531E" w:rsidTr="00FA5270">
        <w:trPr>
          <w:trHeight w:val="406"/>
          <w:jc w:val="center"/>
        </w:trPr>
        <w:tc>
          <w:tcPr>
            <w:tcW w:w="735" w:type="pct"/>
            <w:vMerge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FA5270" w:rsidRPr="00A5531E" w:rsidRDefault="00FA5270" w:rsidP="00FA5270">
            <w:pPr>
              <w:jc w:val="center"/>
              <w:rPr>
                <w:sz w:val="24"/>
                <w:szCs w:val="24"/>
              </w:rPr>
            </w:pPr>
            <w:proofErr w:type="spellStart"/>
            <w:r w:rsidRPr="00A5531E">
              <w:rPr>
                <w:sz w:val="24"/>
                <w:szCs w:val="24"/>
              </w:rPr>
              <w:t>C</w:t>
            </w:r>
            <w:r w:rsidRPr="00A5531E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A5531E">
              <w:rPr>
                <w:sz w:val="24"/>
                <w:szCs w:val="24"/>
              </w:rPr>
              <w:t>（</w:t>
            </w:r>
            <w:r w:rsidRPr="00A5531E">
              <w:rPr>
                <w:kern w:val="2"/>
                <w:sz w:val="24"/>
                <w:szCs w:val="24"/>
              </w:rPr>
              <w:t>ng/mL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125</w:t>
            </w:r>
          </w:p>
        </w:tc>
        <w:tc>
          <w:tcPr>
            <w:tcW w:w="653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120</w:t>
            </w:r>
          </w:p>
        </w:tc>
        <w:tc>
          <w:tcPr>
            <w:tcW w:w="671" w:type="pct"/>
            <w:vAlign w:val="center"/>
          </w:tcPr>
          <w:p w:rsidR="00FA5270" w:rsidRPr="00A5531E" w:rsidRDefault="00FA5270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104.04</w:t>
            </w:r>
          </w:p>
        </w:tc>
        <w:tc>
          <w:tcPr>
            <w:tcW w:w="1032" w:type="pct"/>
            <w:vAlign w:val="center"/>
          </w:tcPr>
          <w:p w:rsidR="00FA5270" w:rsidRPr="00A5531E" w:rsidRDefault="00FA5270" w:rsidP="00FA5270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A5531E">
              <w:rPr>
                <w:rFonts w:eastAsia="等线"/>
                <w:kern w:val="2"/>
                <w:sz w:val="24"/>
                <w:szCs w:val="24"/>
              </w:rPr>
              <w:t>(97.03, 111.54)</w:t>
            </w:r>
          </w:p>
        </w:tc>
      </w:tr>
      <w:tr w:rsidR="0058289E" w:rsidRPr="00A5531E" w:rsidTr="00A37661">
        <w:trPr>
          <w:trHeight w:val="405"/>
          <w:jc w:val="center"/>
        </w:trPr>
        <w:tc>
          <w:tcPr>
            <w:tcW w:w="735" w:type="pct"/>
            <w:vMerge w:val="restar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餐后</w:t>
            </w:r>
            <w:r w:rsidRPr="00A5531E">
              <w:rPr>
                <w:sz w:val="24"/>
                <w:szCs w:val="24"/>
              </w:rPr>
              <w:t>BE</w:t>
            </w:r>
            <w:r w:rsidRPr="00A5531E">
              <w:rPr>
                <w:sz w:val="24"/>
                <w:szCs w:val="24"/>
              </w:rPr>
              <w:t>（</w:t>
            </w:r>
          </w:p>
          <w:p w:rsidR="006D169B" w:rsidRPr="00A5531E" w:rsidRDefault="006D169B" w:rsidP="00A5531E">
            <w:pPr>
              <w:jc w:val="center"/>
              <w:rPr>
                <w:color w:val="FF0000"/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N=</w:t>
            </w:r>
            <w:r w:rsidR="00A5531E" w:rsidRPr="00A5531E">
              <w:rPr>
                <w:sz w:val="24"/>
                <w:szCs w:val="24"/>
              </w:rPr>
              <w:t>38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1256" w:type="pct"/>
            <w:vMerge w:val="restar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参数</w:t>
            </w:r>
          </w:p>
        </w:tc>
        <w:tc>
          <w:tcPr>
            <w:tcW w:w="1977" w:type="pct"/>
            <w:gridSpan w:val="3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几何均值及比值</w:t>
            </w:r>
          </w:p>
        </w:tc>
        <w:tc>
          <w:tcPr>
            <w:tcW w:w="1032" w:type="pct"/>
            <w:vMerge w:val="restar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90%CI</w:t>
            </w:r>
          </w:p>
        </w:tc>
      </w:tr>
      <w:tr w:rsidR="0058289E" w:rsidRPr="00A5531E" w:rsidTr="00A37661">
        <w:trPr>
          <w:trHeight w:val="405"/>
          <w:jc w:val="center"/>
        </w:trPr>
        <w:tc>
          <w:tcPr>
            <w:tcW w:w="735" w:type="pct"/>
            <w:vMerge/>
            <w:vAlign w:val="center"/>
          </w:tcPr>
          <w:p w:rsidR="006D169B" w:rsidRPr="00A5531E" w:rsidRDefault="006D169B" w:rsidP="006D169B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56" w:type="pct"/>
            <w:vMerge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53" w:type="pc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T</w:t>
            </w:r>
          </w:p>
        </w:tc>
        <w:tc>
          <w:tcPr>
            <w:tcW w:w="653" w:type="pc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R</w:t>
            </w:r>
          </w:p>
        </w:tc>
        <w:tc>
          <w:tcPr>
            <w:tcW w:w="671" w:type="pct"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（</w:t>
            </w:r>
            <w:r w:rsidRPr="00A5531E">
              <w:rPr>
                <w:sz w:val="24"/>
                <w:szCs w:val="24"/>
              </w:rPr>
              <w:t>T/R</w:t>
            </w:r>
            <w:r w:rsidRPr="00A5531E">
              <w:rPr>
                <w:sz w:val="24"/>
                <w:szCs w:val="24"/>
              </w:rPr>
              <w:t>）</w:t>
            </w:r>
            <w:r w:rsidRPr="00A5531E">
              <w:rPr>
                <w:sz w:val="24"/>
                <w:szCs w:val="24"/>
              </w:rPr>
              <w:t>%</w:t>
            </w:r>
          </w:p>
        </w:tc>
        <w:tc>
          <w:tcPr>
            <w:tcW w:w="1032" w:type="pct"/>
            <w:vMerge/>
            <w:vAlign w:val="center"/>
          </w:tcPr>
          <w:p w:rsidR="006D169B" w:rsidRPr="00A5531E" w:rsidRDefault="006D169B" w:rsidP="006D169B">
            <w:pPr>
              <w:jc w:val="center"/>
              <w:rPr>
                <w:sz w:val="24"/>
                <w:szCs w:val="24"/>
              </w:rPr>
            </w:pPr>
          </w:p>
        </w:tc>
      </w:tr>
      <w:tr w:rsidR="00A5531E" w:rsidRPr="00A5531E" w:rsidTr="00A5531E">
        <w:trPr>
          <w:trHeight w:val="434"/>
          <w:jc w:val="center"/>
        </w:trPr>
        <w:tc>
          <w:tcPr>
            <w:tcW w:w="735" w:type="pct"/>
            <w:vMerge/>
            <w:vAlign w:val="center"/>
          </w:tcPr>
          <w:p w:rsidR="00A5531E" w:rsidRPr="00A5531E" w:rsidRDefault="00A5531E" w:rsidP="00A5531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5531E" w:rsidRPr="00A5531E" w:rsidRDefault="00A5531E" w:rsidP="00A5531E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AUC</w:t>
            </w:r>
            <w:r w:rsidRPr="00A5531E">
              <w:rPr>
                <w:sz w:val="24"/>
                <w:szCs w:val="24"/>
                <w:vertAlign w:val="subscript"/>
              </w:rPr>
              <w:t>0-t</w:t>
            </w:r>
            <w:r w:rsidRPr="00A5531E">
              <w:rPr>
                <w:sz w:val="24"/>
                <w:szCs w:val="24"/>
              </w:rPr>
              <w:t>（</w:t>
            </w:r>
            <w:proofErr w:type="spellStart"/>
            <w:r w:rsidRPr="00A5531E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A5531E">
              <w:rPr>
                <w:kern w:val="2"/>
                <w:sz w:val="24"/>
                <w:szCs w:val="24"/>
              </w:rPr>
              <w:t>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left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578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598</w:t>
            </w:r>
          </w:p>
        </w:tc>
        <w:tc>
          <w:tcPr>
            <w:tcW w:w="671" w:type="pct"/>
            <w:vAlign w:val="center"/>
          </w:tcPr>
          <w:p w:rsidR="00A5531E" w:rsidRPr="00A5531E" w:rsidRDefault="00A5531E" w:rsidP="00A5531E">
            <w:pPr>
              <w:adjustRightInd w:val="0"/>
              <w:ind w:rightChars="42" w:right="88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96.69</w:t>
            </w:r>
          </w:p>
        </w:tc>
        <w:tc>
          <w:tcPr>
            <w:tcW w:w="1032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rFonts w:hint="eastAsia"/>
                <w:sz w:val="24"/>
                <w:szCs w:val="24"/>
              </w:rPr>
              <w:t>（</w:t>
            </w:r>
            <w:r w:rsidRPr="00A5531E">
              <w:rPr>
                <w:sz w:val="24"/>
                <w:szCs w:val="24"/>
              </w:rPr>
              <w:t>94.96,98.45</w:t>
            </w:r>
            <w:r w:rsidRPr="00A5531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5531E" w:rsidRPr="00A5531E" w:rsidTr="00A5531E">
        <w:trPr>
          <w:trHeight w:val="464"/>
          <w:jc w:val="center"/>
        </w:trPr>
        <w:tc>
          <w:tcPr>
            <w:tcW w:w="735" w:type="pct"/>
            <w:vMerge/>
            <w:vAlign w:val="center"/>
          </w:tcPr>
          <w:p w:rsidR="00A5531E" w:rsidRPr="00A5531E" w:rsidRDefault="00A5531E" w:rsidP="00A5531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5531E" w:rsidRPr="00A5531E" w:rsidRDefault="00A5531E" w:rsidP="00A5531E">
            <w:pPr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AUC</w:t>
            </w:r>
            <w:r w:rsidRPr="00A5531E">
              <w:rPr>
                <w:sz w:val="24"/>
                <w:szCs w:val="24"/>
                <w:vertAlign w:val="subscript"/>
              </w:rPr>
              <w:t>0-∞</w:t>
            </w:r>
            <w:r w:rsidRPr="00A5531E">
              <w:rPr>
                <w:sz w:val="24"/>
                <w:szCs w:val="24"/>
              </w:rPr>
              <w:t>（</w:t>
            </w:r>
            <w:proofErr w:type="spellStart"/>
            <w:r w:rsidRPr="00A5531E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A5531E">
              <w:rPr>
                <w:kern w:val="2"/>
                <w:sz w:val="24"/>
                <w:szCs w:val="24"/>
              </w:rPr>
              <w:t>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left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597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617</w:t>
            </w:r>
          </w:p>
        </w:tc>
        <w:tc>
          <w:tcPr>
            <w:tcW w:w="671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96.82</w:t>
            </w:r>
          </w:p>
        </w:tc>
        <w:tc>
          <w:tcPr>
            <w:tcW w:w="1032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rFonts w:hint="eastAsia"/>
                <w:sz w:val="24"/>
                <w:szCs w:val="24"/>
              </w:rPr>
              <w:t>（</w:t>
            </w:r>
            <w:r w:rsidRPr="00A5531E">
              <w:rPr>
                <w:sz w:val="24"/>
                <w:szCs w:val="24"/>
              </w:rPr>
              <w:t>95.16,98.51</w:t>
            </w:r>
            <w:r w:rsidRPr="00A5531E">
              <w:rPr>
                <w:rFonts w:hint="eastAsia"/>
                <w:sz w:val="24"/>
                <w:szCs w:val="24"/>
              </w:rPr>
              <w:t>）</w:t>
            </w:r>
          </w:p>
        </w:tc>
      </w:tr>
      <w:tr w:rsidR="00A5531E" w:rsidRPr="00A5531E" w:rsidTr="00A5531E">
        <w:trPr>
          <w:trHeight w:val="493"/>
          <w:jc w:val="center"/>
        </w:trPr>
        <w:tc>
          <w:tcPr>
            <w:tcW w:w="735" w:type="pct"/>
            <w:vMerge/>
            <w:vAlign w:val="center"/>
          </w:tcPr>
          <w:p w:rsidR="00A5531E" w:rsidRPr="00A5531E" w:rsidRDefault="00A5531E" w:rsidP="00A5531E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1256" w:type="pct"/>
            <w:vAlign w:val="center"/>
          </w:tcPr>
          <w:p w:rsidR="00A5531E" w:rsidRPr="00A5531E" w:rsidRDefault="00A5531E" w:rsidP="00A5531E">
            <w:pPr>
              <w:jc w:val="center"/>
              <w:rPr>
                <w:sz w:val="24"/>
                <w:szCs w:val="24"/>
              </w:rPr>
            </w:pPr>
            <w:proofErr w:type="spellStart"/>
            <w:r w:rsidRPr="00A5531E">
              <w:rPr>
                <w:sz w:val="24"/>
                <w:szCs w:val="24"/>
              </w:rPr>
              <w:t>C</w:t>
            </w:r>
            <w:r w:rsidRPr="00A5531E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A5531E">
              <w:rPr>
                <w:sz w:val="24"/>
                <w:szCs w:val="24"/>
              </w:rPr>
              <w:t>（</w:t>
            </w:r>
            <w:r w:rsidRPr="00A5531E">
              <w:rPr>
                <w:kern w:val="2"/>
                <w:sz w:val="24"/>
                <w:szCs w:val="24"/>
              </w:rPr>
              <w:t>ng/mL</w:t>
            </w:r>
            <w:r w:rsidRPr="00A5531E">
              <w:rPr>
                <w:sz w:val="24"/>
                <w:szCs w:val="24"/>
              </w:rPr>
              <w:t>）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left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97.1</w:t>
            </w:r>
          </w:p>
        </w:tc>
        <w:tc>
          <w:tcPr>
            <w:tcW w:w="653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98.8</w:t>
            </w:r>
          </w:p>
        </w:tc>
        <w:tc>
          <w:tcPr>
            <w:tcW w:w="671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sz w:val="24"/>
                <w:szCs w:val="24"/>
              </w:rPr>
              <w:t>98.32</w:t>
            </w:r>
          </w:p>
        </w:tc>
        <w:tc>
          <w:tcPr>
            <w:tcW w:w="1032" w:type="pct"/>
            <w:vAlign w:val="center"/>
          </w:tcPr>
          <w:p w:rsidR="00A5531E" w:rsidRPr="00A5531E" w:rsidRDefault="00A5531E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A5531E">
              <w:rPr>
                <w:rFonts w:hint="eastAsia"/>
                <w:sz w:val="24"/>
                <w:szCs w:val="24"/>
              </w:rPr>
              <w:t>（</w:t>
            </w:r>
            <w:r w:rsidRPr="00A5531E">
              <w:rPr>
                <w:sz w:val="24"/>
                <w:szCs w:val="24"/>
              </w:rPr>
              <w:t>94.35,102.45</w:t>
            </w:r>
            <w:r w:rsidRPr="00A5531E">
              <w:rPr>
                <w:rFonts w:hint="eastAsia"/>
                <w:sz w:val="24"/>
                <w:szCs w:val="24"/>
              </w:rPr>
              <w:t>）</w:t>
            </w:r>
          </w:p>
        </w:tc>
      </w:tr>
    </w:tbl>
    <w:p w:rsidR="00D40A13" w:rsidRDefault="00D40A13" w:rsidP="00D40A13">
      <w:pPr>
        <w:spacing w:beforeLines="50" w:before="156" w:line="360" w:lineRule="auto"/>
        <w:rPr>
          <w:rFonts w:ascii="Times New Roman" w:eastAsia="宋体" w:hAnsi="Times New Roman" w:cs="Times New Roman"/>
          <w:b/>
          <w:sz w:val="24"/>
          <w:szCs w:val="24"/>
        </w:rPr>
      </w:pPr>
      <w:proofErr w:type="gramStart"/>
      <w:r w:rsidRPr="00D40A13">
        <w:rPr>
          <w:rFonts w:ascii="Times New Roman" w:eastAsia="宋体" w:hAnsi="Times New Roman" w:cs="Times New Roman" w:hint="eastAsia"/>
          <w:b/>
          <w:sz w:val="24"/>
          <w:szCs w:val="24"/>
        </w:rPr>
        <w:t>氯沙坦</w:t>
      </w:r>
      <w:proofErr w:type="gramEnd"/>
    </w:p>
    <w:tbl>
      <w:tblPr>
        <w:tblStyle w:val="a7"/>
        <w:tblW w:w="10201" w:type="dxa"/>
        <w:jc w:val="center"/>
        <w:tblLook w:val="04A0" w:firstRow="1" w:lastRow="0" w:firstColumn="1" w:lastColumn="0" w:noHBand="0" w:noVBand="1"/>
      </w:tblPr>
      <w:tblGrid>
        <w:gridCol w:w="1245"/>
        <w:gridCol w:w="1550"/>
        <w:gridCol w:w="1122"/>
        <w:gridCol w:w="714"/>
        <w:gridCol w:w="1270"/>
        <w:gridCol w:w="1874"/>
        <w:gridCol w:w="756"/>
        <w:gridCol w:w="876"/>
        <w:gridCol w:w="794"/>
      </w:tblGrid>
      <w:tr w:rsidR="00A5531E" w:rsidRPr="00827AE3" w:rsidTr="00827AE3">
        <w:trPr>
          <w:trHeight w:val="405"/>
          <w:jc w:val="center"/>
        </w:trPr>
        <w:tc>
          <w:tcPr>
            <w:tcW w:w="610" w:type="pct"/>
            <w:vMerge w:val="restar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空腹</w:t>
            </w:r>
            <w:r w:rsidRPr="00827AE3">
              <w:rPr>
                <w:sz w:val="24"/>
                <w:szCs w:val="24"/>
              </w:rPr>
              <w:t>BE</w:t>
            </w:r>
          </w:p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sz w:val="24"/>
                <w:szCs w:val="24"/>
              </w:rPr>
              <w:t>N=39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793" w:type="pct"/>
            <w:vMerge w:val="restar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参数</w:t>
            </w:r>
          </w:p>
        </w:tc>
        <w:tc>
          <w:tcPr>
            <w:tcW w:w="1589" w:type="pct"/>
            <w:gridSpan w:val="3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几何均值及比值</w:t>
            </w:r>
          </w:p>
        </w:tc>
        <w:tc>
          <w:tcPr>
            <w:tcW w:w="2008" w:type="pct"/>
            <w:gridSpan w:val="4"/>
            <w:vMerge w:val="restar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90%CI</w:t>
            </w:r>
          </w:p>
        </w:tc>
      </w:tr>
      <w:tr w:rsidR="00827AE3" w:rsidRPr="00827AE3" w:rsidTr="00827AE3">
        <w:trPr>
          <w:trHeight w:val="405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T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R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sz w:val="24"/>
                <w:szCs w:val="24"/>
              </w:rPr>
              <w:t>T/R</w:t>
            </w:r>
            <w:r w:rsidRPr="00827AE3">
              <w:rPr>
                <w:sz w:val="24"/>
                <w:szCs w:val="24"/>
              </w:rPr>
              <w:t>）</w:t>
            </w:r>
            <w:r w:rsidRPr="00827AE3">
              <w:rPr>
                <w:sz w:val="24"/>
                <w:szCs w:val="24"/>
              </w:rPr>
              <w:t>%</w:t>
            </w:r>
          </w:p>
        </w:tc>
        <w:tc>
          <w:tcPr>
            <w:tcW w:w="2008" w:type="pct"/>
            <w:gridSpan w:val="4"/>
            <w:vMerge/>
            <w:shd w:val="clear" w:color="auto" w:fill="auto"/>
            <w:vAlign w:val="center"/>
          </w:tcPr>
          <w:p w:rsidR="00070031" w:rsidRPr="00827AE3" w:rsidRDefault="00070031" w:rsidP="009677F1">
            <w:pPr>
              <w:jc w:val="center"/>
              <w:rPr>
                <w:sz w:val="24"/>
                <w:szCs w:val="24"/>
              </w:rPr>
            </w:pPr>
          </w:p>
        </w:tc>
      </w:tr>
      <w:tr w:rsidR="00827AE3" w:rsidRPr="00827AE3" w:rsidTr="00827AE3">
        <w:trPr>
          <w:trHeight w:val="441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AUC</w:t>
            </w:r>
            <w:r w:rsidRPr="00827AE3">
              <w:rPr>
                <w:sz w:val="24"/>
                <w:szCs w:val="24"/>
                <w:vertAlign w:val="subscript"/>
              </w:rPr>
              <w:t>0-t</w:t>
            </w:r>
            <w:r w:rsidRPr="00827AE3">
              <w:rPr>
                <w:sz w:val="24"/>
                <w:szCs w:val="24"/>
              </w:rPr>
              <w:t>（</w:t>
            </w:r>
            <w:proofErr w:type="spellStart"/>
            <w:r w:rsidRPr="00827AE3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827AE3">
              <w:rPr>
                <w:kern w:val="2"/>
                <w:sz w:val="24"/>
                <w:szCs w:val="24"/>
              </w:rPr>
              <w:t>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508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520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070031" w:rsidRPr="00827AE3" w:rsidRDefault="00070031" w:rsidP="00FA5270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827AE3">
              <w:rPr>
                <w:snapToGrid w:val="0"/>
                <w:spacing w:val="-4"/>
                <w:sz w:val="24"/>
                <w:szCs w:val="24"/>
              </w:rPr>
              <w:t>95.06</w:t>
            </w:r>
          </w:p>
        </w:tc>
        <w:tc>
          <w:tcPr>
            <w:tcW w:w="2008" w:type="pct"/>
            <w:gridSpan w:val="4"/>
            <w:shd w:val="clear" w:color="auto" w:fill="auto"/>
            <w:vAlign w:val="center"/>
          </w:tcPr>
          <w:p w:rsidR="00070031" w:rsidRPr="00827AE3" w:rsidRDefault="00070031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(94.63,100.84)</w:t>
            </w:r>
          </w:p>
        </w:tc>
      </w:tr>
      <w:tr w:rsidR="00827AE3" w:rsidRPr="00827AE3" w:rsidTr="00827AE3">
        <w:trPr>
          <w:trHeight w:val="405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AUC</w:t>
            </w:r>
            <w:r w:rsidRPr="00827AE3">
              <w:rPr>
                <w:sz w:val="24"/>
                <w:szCs w:val="24"/>
                <w:vertAlign w:val="subscript"/>
              </w:rPr>
              <w:t>0-∞</w:t>
            </w:r>
            <w:r w:rsidRPr="00827AE3">
              <w:rPr>
                <w:sz w:val="24"/>
                <w:szCs w:val="24"/>
              </w:rPr>
              <w:t>（</w:t>
            </w:r>
            <w:proofErr w:type="spellStart"/>
            <w:r w:rsidRPr="00827AE3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827AE3">
              <w:rPr>
                <w:kern w:val="2"/>
                <w:sz w:val="24"/>
                <w:szCs w:val="24"/>
              </w:rPr>
              <w:t>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516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529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070031" w:rsidRPr="00827AE3" w:rsidRDefault="00070031" w:rsidP="00FA5270">
            <w:pPr>
              <w:tabs>
                <w:tab w:val="left" w:pos="0"/>
                <w:tab w:val="left" w:pos="420"/>
                <w:tab w:val="left" w:pos="2700"/>
              </w:tabs>
              <w:jc w:val="center"/>
              <w:rPr>
                <w:snapToGrid w:val="0"/>
                <w:spacing w:val="-4"/>
                <w:sz w:val="24"/>
                <w:szCs w:val="24"/>
              </w:rPr>
            </w:pPr>
            <w:r w:rsidRPr="00827AE3">
              <w:rPr>
                <w:snapToGrid w:val="0"/>
                <w:spacing w:val="-4"/>
                <w:sz w:val="24"/>
                <w:szCs w:val="24"/>
              </w:rPr>
              <w:t>95.92</w:t>
            </w:r>
          </w:p>
        </w:tc>
        <w:tc>
          <w:tcPr>
            <w:tcW w:w="2008" w:type="pct"/>
            <w:gridSpan w:val="4"/>
            <w:shd w:val="clear" w:color="auto" w:fill="auto"/>
            <w:vAlign w:val="center"/>
          </w:tcPr>
          <w:p w:rsidR="00070031" w:rsidRPr="00827AE3" w:rsidRDefault="00070031" w:rsidP="00A5531E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(94.52, 100.57)</w:t>
            </w:r>
          </w:p>
        </w:tc>
      </w:tr>
      <w:tr w:rsidR="00827AE3" w:rsidRPr="00827AE3" w:rsidTr="00827AE3">
        <w:trPr>
          <w:trHeight w:val="406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 w:val="restart"/>
            <w:shd w:val="clear" w:color="auto" w:fill="auto"/>
            <w:vAlign w:val="center"/>
          </w:tcPr>
          <w:p w:rsidR="00070031" w:rsidRPr="00827AE3" w:rsidRDefault="00070031" w:rsidP="00FA5270">
            <w:pPr>
              <w:jc w:val="center"/>
              <w:rPr>
                <w:sz w:val="24"/>
                <w:szCs w:val="24"/>
              </w:rPr>
            </w:pPr>
            <w:proofErr w:type="spellStart"/>
            <w:r w:rsidRPr="00827AE3">
              <w:rPr>
                <w:sz w:val="24"/>
                <w:szCs w:val="24"/>
              </w:rPr>
              <w:t>C</w:t>
            </w:r>
            <w:r w:rsidRPr="00827AE3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kern w:val="2"/>
                <w:sz w:val="24"/>
                <w:szCs w:val="24"/>
              </w:rPr>
              <w:t>ng/mL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vMerge w:val="restar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293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303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97.26</w:t>
            </w:r>
          </w:p>
        </w:tc>
        <w:tc>
          <w:tcPr>
            <w:tcW w:w="819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90%CI</w:t>
            </w:r>
          </w:p>
        </w:tc>
        <w:tc>
          <w:tcPr>
            <w:tcW w:w="800" w:type="pct"/>
            <w:gridSpan w:val="2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kern w:val="2"/>
                <w:sz w:val="24"/>
                <w:szCs w:val="24"/>
              </w:rPr>
              <w:t>参比制剂</w:t>
            </w:r>
            <w:proofErr w:type="gramStart"/>
            <w:r w:rsidRPr="00827AE3">
              <w:rPr>
                <w:kern w:val="2"/>
                <w:sz w:val="24"/>
                <w:szCs w:val="24"/>
              </w:rPr>
              <w:t>个</w:t>
            </w:r>
            <w:proofErr w:type="gramEnd"/>
            <w:r w:rsidRPr="00827AE3">
              <w:rPr>
                <w:kern w:val="2"/>
                <w:sz w:val="24"/>
                <w:szCs w:val="24"/>
              </w:rPr>
              <w:t>体内变异</w:t>
            </w:r>
          </w:p>
        </w:tc>
        <w:tc>
          <w:tcPr>
            <w:tcW w:w="389" w:type="pct"/>
            <w:shd w:val="clear" w:color="auto" w:fill="auto"/>
            <w:vAlign w:val="center"/>
          </w:tcPr>
          <w:p w:rsidR="00070031" w:rsidRPr="00827AE3" w:rsidRDefault="00070031" w:rsidP="00FA5270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proofErr w:type="gramStart"/>
            <w:r w:rsidRPr="00827AE3">
              <w:rPr>
                <w:kern w:val="2"/>
                <w:sz w:val="24"/>
                <w:szCs w:val="24"/>
              </w:rPr>
              <w:t>界值标准</w:t>
            </w:r>
            <w:proofErr w:type="gramEnd"/>
          </w:p>
        </w:tc>
      </w:tr>
      <w:tr w:rsidR="00827AE3" w:rsidRPr="00827AE3" w:rsidTr="00827AE3">
        <w:trPr>
          <w:trHeight w:val="290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22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pct"/>
            <w:vMerge w:val="restart"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(87.37, 108.28)</w:t>
            </w:r>
          </w:p>
        </w:tc>
        <w:tc>
          <w:tcPr>
            <w:tcW w:w="371" w:type="pct"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%CV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S</w:t>
            </w:r>
            <w:r w:rsidRPr="00827AE3">
              <w:rPr>
                <w:sz w:val="24"/>
                <w:szCs w:val="24"/>
                <w:vertAlign w:val="subscript"/>
              </w:rPr>
              <w:t>WR</w:t>
            </w:r>
          </w:p>
        </w:tc>
        <w:tc>
          <w:tcPr>
            <w:tcW w:w="389" w:type="pct"/>
            <w:vMerge w:val="restart"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kern w:val="2"/>
                <w:sz w:val="24"/>
                <w:szCs w:val="24"/>
              </w:rPr>
              <w:t>-0.0883</w:t>
            </w:r>
          </w:p>
        </w:tc>
      </w:tr>
      <w:tr w:rsidR="00827AE3" w:rsidRPr="00827AE3" w:rsidTr="00827AE3">
        <w:trPr>
          <w:trHeight w:val="330"/>
          <w:jc w:val="center"/>
        </w:trPr>
        <w:tc>
          <w:tcPr>
            <w:tcW w:w="610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22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42.01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0.4032</w:t>
            </w:r>
          </w:p>
        </w:tc>
        <w:tc>
          <w:tcPr>
            <w:tcW w:w="389" w:type="pct"/>
            <w:vMerge/>
            <w:shd w:val="clear" w:color="auto" w:fill="auto"/>
            <w:vAlign w:val="center"/>
          </w:tcPr>
          <w:p w:rsidR="003D593B" w:rsidRPr="00827AE3" w:rsidRDefault="003D593B" w:rsidP="003D593B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</w:p>
        </w:tc>
      </w:tr>
      <w:tr w:rsidR="00CF5B2A" w:rsidRPr="00827AE3" w:rsidTr="00827AE3">
        <w:tblPrEx>
          <w:jc w:val="left"/>
        </w:tblPrEx>
        <w:trPr>
          <w:trHeight w:val="405"/>
        </w:trPr>
        <w:tc>
          <w:tcPr>
            <w:tcW w:w="610" w:type="pct"/>
            <w:vMerge w:val="restart"/>
            <w:shd w:val="clear" w:color="auto" w:fill="auto"/>
          </w:tcPr>
          <w:p w:rsidR="00CF5B2A" w:rsidRPr="00827AE3" w:rsidRDefault="00827AE3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餐后</w:t>
            </w:r>
            <w:r w:rsidR="00CF5B2A" w:rsidRPr="00827AE3">
              <w:rPr>
                <w:sz w:val="24"/>
                <w:szCs w:val="24"/>
              </w:rPr>
              <w:t>BE</w:t>
            </w:r>
          </w:p>
          <w:p w:rsidR="00CF5B2A" w:rsidRPr="00827AE3" w:rsidRDefault="00CF5B2A" w:rsidP="00827AE3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sz w:val="24"/>
                <w:szCs w:val="24"/>
              </w:rPr>
              <w:t>N=</w:t>
            </w:r>
            <w:r w:rsidR="00827AE3" w:rsidRPr="00827AE3">
              <w:rPr>
                <w:sz w:val="24"/>
                <w:szCs w:val="24"/>
              </w:rPr>
              <w:t>38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793" w:type="pct"/>
            <w:vMerge w:val="restar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参数</w:t>
            </w:r>
          </w:p>
        </w:tc>
        <w:tc>
          <w:tcPr>
            <w:tcW w:w="1589" w:type="pct"/>
            <w:gridSpan w:val="3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几何均值及比值</w:t>
            </w:r>
          </w:p>
        </w:tc>
        <w:tc>
          <w:tcPr>
            <w:tcW w:w="2008" w:type="pct"/>
            <w:gridSpan w:val="4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90%CI</w:t>
            </w:r>
          </w:p>
        </w:tc>
      </w:tr>
      <w:tr w:rsidR="00CF5B2A" w:rsidRPr="00827AE3" w:rsidTr="00827AE3">
        <w:tblPrEx>
          <w:jc w:val="left"/>
        </w:tblPrEx>
        <w:trPr>
          <w:trHeight w:val="405"/>
        </w:trPr>
        <w:tc>
          <w:tcPr>
            <w:tcW w:w="610" w:type="pct"/>
            <w:vMerge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T</w:t>
            </w:r>
          </w:p>
        </w:tc>
        <w:tc>
          <w:tcPr>
            <w:tcW w:w="383" w:type="pc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R</w:t>
            </w:r>
          </w:p>
        </w:tc>
        <w:tc>
          <w:tcPr>
            <w:tcW w:w="622" w:type="pc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sz w:val="24"/>
                <w:szCs w:val="24"/>
              </w:rPr>
              <w:t>T/R</w:t>
            </w:r>
            <w:r w:rsidRPr="00827AE3">
              <w:rPr>
                <w:sz w:val="24"/>
                <w:szCs w:val="24"/>
              </w:rPr>
              <w:t>）</w:t>
            </w:r>
            <w:r w:rsidRPr="00827AE3">
              <w:rPr>
                <w:sz w:val="24"/>
                <w:szCs w:val="24"/>
              </w:rPr>
              <w:t>%</w:t>
            </w:r>
          </w:p>
        </w:tc>
        <w:tc>
          <w:tcPr>
            <w:tcW w:w="2008" w:type="pct"/>
            <w:gridSpan w:val="4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</w:p>
        </w:tc>
      </w:tr>
      <w:tr w:rsidR="00827AE3" w:rsidRPr="00827AE3" w:rsidTr="00827AE3">
        <w:tblPrEx>
          <w:jc w:val="left"/>
        </w:tblPrEx>
        <w:trPr>
          <w:trHeight w:val="441"/>
        </w:trPr>
        <w:tc>
          <w:tcPr>
            <w:tcW w:w="610" w:type="pct"/>
            <w:vMerge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AUC</w:t>
            </w:r>
            <w:r w:rsidRPr="00827AE3">
              <w:rPr>
                <w:sz w:val="24"/>
                <w:szCs w:val="24"/>
                <w:vertAlign w:val="subscript"/>
              </w:rPr>
              <w:t>0-t</w:t>
            </w:r>
            <w:r w:rsidRPr="00827AE3">
              <w:rPr>
                <w:sz w:val="24"/>
                <w:szCs w:val="24"/>
              </w:rPr>
              <w:t>（</w:t>
            </w:r>
            <w:proofErr w:type="spellStart"/>
            <w:r w:rsidRPr="00827AE3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827AE3">
              <w:rPr>
                <w:kern w:val="2"/>
                <w:sz w:val="24"/>
                <w:szCs w:val="24"/>
              </w:rPr>
              <w:t>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469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494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ind w:rightChars="42" w:right="88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94.98</w:t>
            </w:r>
          </w:p>
        </w:tc>
        <w:tc>
          <w:tcPr>
            <w:tcW w:w="2008" w:type="pct"/>
            <w:gridSpan w:val="4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（</w:t>
            </w:r>
            <w:r w:rsidRPr="00827AE3">
              <w:rPr>
                <w:color w:val="000000"/>
                <w:sz w:val="24"/>
                <w:szCs w:val="24"/>
              </w:rPr>
              <w:t>92.80,97.21</w:t>
            </w:r>
            <w:r w:rsidRPr="00827AE3">
              <w:rPr>
                <w:color w:val="000000"/>
                <w:sz w:val="24"/>
                <w:szCs w:val="24"/>
              </w:rPr>
              <w:t>）</w:t>
            </w:r>
          </w:p>
        </w:tc>
      </w:tr>
      <w:tr w:rsidR="00827AE3" w:rsidRPr="00827AE3" w:rsidTr="00827AE3">
        <w:tblPrEx>
          <w:jc w:val="left"/>
        </w:tblPrEx>
        <w:trPr>
          <w:trHeight w:val="405"/>
        </w:trPr>
        <w:tc>
          <w:tcPr>
            <w:tcW w:w="610" w:type="pct"/>
            <w:vMerge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AUC</w:t>
            </w:r>
            <w:r w:rsidRPr="00827AE3">
              <w:rPr>
                <w:sz w:val="24"/>
                <w:szCs w:val="24"/>
                <w:vertAlign w:val="subscript"/>
              </w:rPr>
              <w:t>0-∞</w:t>
            </w:r>
            <w:r w:rsidRPr="00827AE3">
              <w:rPr>
                <w:sz w:val="24"/>
                <w:szCs w:val="24"/>
              </w:rPr>
              <w:lastRenderedPageBreak/>
              <w:t>（</w:t>
            </w:r>
            <w:proofErr w:type="spellStart"/>
            <w:r w:rsidRPr="00827AE3">
              <w:rPr>
                <w:kern w:val="2"/>
                <w:sz w:val="24"/>
                <w:szCs w:val="24"/>
              </w:rPr>
              <w:t>h·ng</w:t>
            </w:r>
            <w:proofErr w:type="spellEnd"/>
            <w:r w:rsidRPr="00827AE3">
              <w:rPr>
                <w:kern w:val="2"/>
                <w:sz w:val="24"/>
                <w:szCs w:val="24"/>
              </w:rPr>
              <w:t>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lastRenderedPageBreak/>
              <w:t>483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506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95.48</w:t>
            </w:r>
          </w:p>
        </w:tc>
        <w:tc>
          <w:tcPr>
            <w:tcW w:w="2008" w:type="pct"/>
            <w:gridSpan w:val="4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（</w:t>
            </w:r>
            <w:r w:rsidRPr="00827AE3">
              <w:rPr>
                <w:color w:val="000000"/>
                <w:sz w:val="24"/>
                <w:szCs w:val="24"/>
              </w:rPr>
              <w:t>93.38,97.62</w:t>
            </w:r>
            <w:r w:rsidRPr="00827AE3">
              <w:rPr>
                <w:color w:val="000000"/>
                <w:sz w:val="24"/>
                <w:szCs w:val="24"/>
              </w:rPr>
              <w:t>）</w:t>
            </w:r>
          </w:p>
        </w:tc>
      </w:tr>
      <w:tr w:rsidR="00827AE3" w:rsidRPr="00827AE3" w:rsidTr="00827AE3">
        <w:tblPrEx>
          <w:jc w:val="left"/>
        </w:tblPrEx>
        <w:trPr>
          <w:trHeight w:val="406"/>
        </w:trPr>
        <w:tc>
          <w:tcPr>
            <w:tcW w:w="610" w:type="pct"/>
            <w:vMerge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 w:val="restart"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  <w:proofErr w:type="spellStart"/>
            <w:r w:rsidRPr="00827AE3">
              <w:rPr>
                <w:sz w:val="24"/>
                <w:szCs w:val="24"/>
              </w:rPr>
              <w:t>C</w:t>
            </w:r>
            <w:r w:rsidRPr="00827AE3">
              <w:rPr>
                <w:sz w:val="24"/>
                <w:szCs w:val="24"/>
                <w:vertAlign w:val="subscript"/>
              </w:rPr>
              <w:t>max</w:t>
            </w:r>
            <w:proofErr w:type="spellEnd"/>
            <w:r w:rsidRPr="00827AE3">
              <w:rPr>
                <w:sz w:val="24"/>
                <w:szCs w:val="24"/>
              </w:rPr>
              <w:t>（</w:t>
            </w:r>
            <w:r w:rsidRPr="00827AE3">
              <w:rPr>
                <w:kern w:val="2"/>
                <w:sz w:val="24"/>
                <w:szCs w:val="24"/>
              </w:rPr>
              <w:t>ng/mL</w:t>
            </w:r>
            <w:r w:rsidRPr="00827AE3">
              <w:rPr>
                <w:sz w:val="24"/>
                <w:szCs w:val="24"/>
              </w:rPr>
              <w:t>）</w:t>
            </w:r>
          </w:p>
        </w:tc>
        <w:tc>
          <w:tcPr>
            <w:tcW w:w="583" w:type="pct"/>
            <w:vMerge w:val="restar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171</w:t>
            </w:r>
          </w:p>
        </w:tc>
        <w:tc>
          <w:tcPr>
            <w:tcW w:w="383" w:type="pct"/>
            <w:vMerge w:val="restar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178</w:t>
            </w:r>
          </w:p>
        </w:tc>
        <w:tc>
          <w:tcPr>
            <w:tcW w:w="622" w:type="pct"/>
            <w:vMerge w:val="restar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95.82</w:t>
            </w:r>
          </w:p>
        </w:tc>
        <w:tc>
          <w:tcPr>
            <w:tcW w:w="819" w:type="pct"/>
            <w:shd w:val="clear" w:color="auto" w:fill="auto"/>
          </w:tcPr>
          <w:p w:rsidR="00827AE3" w:rsidRPr="00827AE3" w:rsidRDefault="00827AE3" w:rsidP="00827AE3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90%CI</w:t>
            </w:r>
          </w:p>
        </w:tc>
        <w:tc>
          <w:tcPr>
            <w:tcW w:w="800" w:type="pct"/>
            <w:gridSpan w:val="2"/>
            <w:shd w:val="clear" w:color="auto" w:fill="auto"/>
          </w:tcPr>
          <w:p w:rsidR="00827AE3" w:rsidRPr="00827AE3" w:rsidRDefault="00827AE3" w:rsidP="00827AE3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kern w:val="2"/>
                <w:sz w:val="24"/>
                <w:szCs w:val="24"/>
              </w:rPr>
              <w:t>参比制剂</w:t>
            </w:r>
            <w:proofErr w:type="gramStart"/>
            <w:r w:rsidRPr="00827AE3">
              <w:rPr>
                <w:kern w:val="2"/>
                <w:sz w:val="24"/>
                <w:szCs w:val="24"/>
              </w:rPr>
              <w:t>个</w:t>
            </w:r>
            <w:proofErr w:type="gramEnd"/>
            <w:r w:rsidRPr="00827AE3">
              <w:rPr>
                <w:kern w:val="2"/>
                <w:sz w:val="24"/>
                <w:szCs w:val="24"/>
              </w:rPr>
              <w:t>体内变异</w:t>
            </w:r>
          </w:p>
        </w:tc>
        <w:tc>
          <w:tcPr>
            <w:tcW w:w="389" w:type="pct"/>
            <w:shd w:val="clear" w:color="auto" w:fill="auto"/>
          </w:tcPr>
          <w:p w:rsidR="00827AE3" w:rsidRPr="00827AE3" w:rsidRDefault="00827AE3" w:rsidP="00827AE3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proofErr w:type="gramStart"/>
            <w:r w:rsidRPr="00827AE3">
              <w:rPr>
                <w:kern w:val="2"/>
                <w:sz w:val="24"/>
                <w:szCs w:val="24"/>
              </w:rPr>
              <w:t>界值标准</w:t>
            </w:r>
            <w:proofErr w:type="gramEnd"/>
          </w:p>
        </w:tc>
      </w:tr>
      <w:tr w:rsidR="00827AE3" w:rsidRPr="00827AE3" w:rsidTr="00827AE3">
        <w:tblPrEx>
          <w:jc w:val="left"/>
        </w:tblPrEx>
        <w:trPr>
          <w:trHeight w:val="210"/>
        </w:trPr>
        <w:tc>
          <w:tcPr>
            <w:tcW w:w="610" w:type="pct"/>
            <w:vMerge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vMerge/>
            <w:shd w:val="clear" w:color="auto" w:fill="auto"/>
          </w:tcPr>
          <w:p w:rsidR="00CF5B2A" w:rsidRPr="00827AE3" w:rsidRDefault="00CF5B2A" w:rsidP="009677F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:rsidR="00CF5B2A" w:rsidRPr="00827AE3" w:rsidRDefault="00CF5B2A" w:rsidP="009677F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22" w:type="pct"/>
            <w:vMerge/>
            <w:shd w:val="clear" w:color="auto" w:fill="auto"/>
          </w:tcPr>
          <w:p w:rsidR="00CF5B2A" w:rsidRPr="00827AE3" w:rsidRDefault="00CF5B2A" w:rsidP="009677F1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pct"/>
            <w:vMerge w:val="restart"/>
            <w:shd w:val="clear" w:color="auto" w:fill="auto"/>
          </w:tcPr>
          <w:p w:rsidR="00CF5B2A" w:rsidRPr="00827AE3" w:rsidRDefault="00827AE3" w:rsidP="009677F1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color w:val="000000"/>
                <w:kern w:val="2"/>
                <w:sz w:val="24"/>
                <w:szCs w:val="24"/>
              </w:rPr>
              <w:t>（</w:t>
            </w:r>
            <w:r w:rsidRPr="00827AE3">
              <w:rPr>
                <w:color w:val="000000"/>
                <w:kern w:val="2"/>
                <w:sz w:val="24"/>
                <w:szCs w:val="24"/>
              </w:rPr>
              <w:t>90.27,101.71</w:t>
            </w:r>
            <w:r w:rsidRPr="00827AE3">
              <w:rPr>
                <w:color w:val="000000"/>
                <w:kern w:val="2"/>
                <w:sz w:val="24"/>
                <w:szCs w:val="24"/>
              </w:rPr>
              <w:t>）</w:t>
            </w:r>
          </w:p>
        </w:tc>
        <w:tc>
          <w:tcPr>
            <w:tcW w:w="371" w:type="pc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%CV</w:t>
            </w:r>
          </w:p>
        </w:tc>
        <w:tc>
          <w:tcPr>
            <w:tcW w:w="429" w:type="pct"/>
            <w:shd w:val="clear" w:color="auto" w:fill="auto"/>
          </w:tcPr>
          <w:p w:rsidR="00CF5B2A" w:rsidRPr="00827AE3" w:rsidRDefault="00CF5B2A" w:rsidP="009677F1">
            <w:pPr>
              <w:jc w:val="center"/>
              <w:rPr>
                <w:sz w:val="24"/>
                <w:szCs w:val="24"/>
              </w:rPr>
            </w:pPr>
            <w:r w:rsidRPr="00827AE3">
              <w:rPr>
                <w:sz w:val="24"/>
                <w:szCs w:val="24"/>
              </w:rPr>
              <w:t>S</w:t>
            </w:r>
            <w:r w:rsidRPr="00827AE3">
              <w:rPr>
                <w:sz w:val="24"/>
                <w:szCs w:val="24"/>
                <w:vertAlign w:val="subscript"/>
              </w:rPr>
              <w:t>WR</w:t>
            </w:r>
          </w:p>
        </w:tc>
        <w:tc>
          <w:tcPr>
            <w:tcW w:w="389" w:type="pct"/>
            <w:vMerge w:val="restart"/>
            <w:shd w:val="clear" w:color="auto" w:fill="auto"/>
          </w:tcPr>
          <w:p w:rsidR="00CF5B2A" w:rsidRPr="00827AE3" w:rsidRDefault="00827AE3" w:rsidP="009677F1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  <w:r w:rsidRPr="00827AE3">
              <w:rPr>
                <w:color w:val="000000"/>
                <w:kern w:val="2"/>
                <w:sz w:val="24"/>
                <w:szCs w:val="24"/>
              </w:rPr>
              <w:t>-0.0677</w:t>
            </w:r>
          </w:p>
        </w:tc>
      </w:tr>
      <w:tr w:rsidR="00827AE3" w:rsidRPr="00827AE3" w:rsidTr="00827AE3">
        <w:tblPrEx>
          <w:jc w:val="left"/>
        </w:tblPrEx>
        <w:trPr>
          <w:trHeight w:val="92"/>
        </w:trPr>
        <w:tc>
          <w:tcPr>
            <w:tcW w:w="610" w:type="pct"/>
            <w:vMerge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93" w:type="pct"/>
            <w:vMerge/>
            <w:shd w:val="clear" w:color="auto" w:fill="auto"/>
          </w:tcPr>
          <w:p w:rsidR="00827AE3" w:rsidRPr="00827AE3" w:rsidRDefault="00827AE3" w:rsidP="00827AE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83" w:type="pct"/>
            <w:vMerge/>
            <w:shd w:val="clear" w:color="auto" w:fill="auto"/>
          </w:tcPr>
          <w:p w:rsidR="00827AE3" w:rsidRPr="00827AE3" w:rsidRDefault="00827AE3" w:rsidP="00827AE3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83" w:type="pct"/>
            <w:vMerge/>
            <w:shd w:val="clear" w:color="auto" w:fill="auto"/>
          </w:tcPr>
          <w:p w:rsidR="00827AE3" w:rsidRPr="00827AE3" w:rsidRDefault="00827AE3" w:rsidP="00827AE3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622" w:type="pct"/>
            <w:vMerge/>
            <w:shd w:val="clear" w:color="auto" w:fill="auto"/>
          </w:tcPr>
          <w:p w:rsidR="00827AE3" w:rsidRPr="00827AE3" w:rsidRDefault="00827AE3" w:rsidP="00827AE3">
            <w:pPr>
              <w:adjustRightIn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819" w:type="pct"/>
            <w:vMerge/>
            <w:shd w:val="clear" w:color="auto" w:fill="auto"/>
          </w:tcPr>
          <w:p w:rsidR="00827AE3" w:rsidRPr="00827AE3" w:rsidRDefault="00827AE3" w:rsidP="00827AE3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</w:p>
        </w:tc>
        <w:tc>
          <w:tcPr>
            <w:tcW w:w="371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36.39</w:t>
            </w:r>
          </w:p>
        </w:tc>
        <w:tc>
          <w:tcPr>
            <w:tcW w:w="429" w:type="pct"/>
            <w:shd w:val="clear" w:color="auto" w:fill="auto"/>
            <w:vAlign w:val="center"/>
          </w:tcPr>
          <w:p w:rsidR="00827AE3" w:rsidRPr="00827AE3" w:rsidRDefault="00827AE3" w:rsidP="00827AE3">
            <w:pPr>
              <w:adjustRightInd w:val="0"/>
              <w:jc w:val="center"/>
              <w:rPr>
                <w:color w:val="000000"/>
                <w:sz w:val="24"/>
                <w:szCs w:val="24"/>
              </w:rPr>
            </w:pPr>
            <w:r w:rsidRPr="00827AE3">
              <w:rPr>
                <w:color w:val="000000"/>
                <w:sz w:val="24"/>
                <w:szCs w:val="24"/>
              </w:rPr>
              <w:t>0.3526</w:t>
            </w:r>
          </w:p>
        </w:tc>
        <w:tc>
          <w:tcPr>
            <w:tcW w:w="389" w:type="pct"/>
            <w:vMerge/>
            <w:shd w:val="clear" w:color="auto" w:fill="auto"/>
          </w:tcPr>
          <w:p w:rsidR="00827AE3" w:rsidRPr="00827AE3" w:rsidRDefault="00827AE3" w:rsidP="00827AE3">
            <w:pPr>
              <w:adjustRightInd w:val="0"/>
              <w:ind w:leftChars="-39" w:left="-82"/>
              <w:jc w:val="center"/>
              <w:rPr>
                <w:sz w:val="24"/>
                <w:szCs w:val="24"/>
              </w:rPr>
            </w:pPr>
          </w:p>
        </w:tc>
      </w:tr>
    </w:tbl>
    <w:p w:rsidR="001D2DC5" w:rsidRPr="00827AE3" w:rsidRDefault="001D2DC5" w:rsidP="006B4E40">
      <w:pPr>
        <w:spacing w:line="360" w:lineRule="auto"/>
        <w:ind w:firstLineChars="200" w:firstLine="480"/>
        <w:jc w:val="left"/>
        <w:rPr>
          <w:rFonts w:ascii="Times New Roman" w:eastAsia="黑体" w:hAnsi="Times New Roman" w:cs="Times New Roman"/>
          <w:sz w:val="24"/>
          <w:szCs w:val="24"/>
        </w:rPr>
      </w:pPr>
      <w:r w:rsidRPr="00827AE3">
        <w:rPr>
          <w:rFonts w:ascii="Times New Roman" w:eastAsia="黑体" w:hAnsi="Times New Roman" w:cs="Times New Roman"/>
          <w:sz w:val="24"/>
          <w:szCs w:val="24"/>
        </w:rPr>
        <w:t>3.</w:t>
      </w:r>
      <w:r w:rsidRPr="00827AE3">
        <w:rPr>
          <w:rFonts w:ascii="Times New Roman" w:eastAsia="黑体" w:hAnsi="Times New Roman" w:cs="Times New Roman" w:hint="eastAsia"/>
          <w:sz w:val="24"/>
          <w:szCs w:val="24"/>
        </w:rPr>
        <w:t>审评结论</w:t>
      </w:r>
    </w:p>
    <w:p w:rsidR="001D2DC5" w:rsidRPr="00827AE3" w:rsidRDefault="001D2DC5" w:rsidP="006B4E4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827AE3">
        <w:rPr>
          <w:rFonts w:ascii="Times New Roman" w:eastAsia="宋体" w:hAnsi="Times New Roman" w:cs="Times New Roman" w:hint="eastAsia"/>
          <w:sz w:val="24"/>
          <w:szCs w:val="24"/>
        </w:rPr>
        <w:t>建议</w:t>
      </w:r>
      <w:r w:rsidR="00827AE3" w:rsidRPr="00827AE3">
        <w:rPr>
          <w:rFonts w:ascii="Times New Roman" w:eastAsia="宋体" w:hAnsi="Times New Roman" w:cs="Times New Roman" w:hint="eastAsia"/>
          <w:sz w:val="24"/>
          <w:szCs w:val="24"/>
        </w:rPr>
        <w:t>苏州东瑞制药有限公司</w:t>
      </w:r>
      <w:r w:rsidR="00BA4A0E" w:rsidRPr="00827AE3">
        <w:rPr>
          <w:rFonts w:ascii="Times New Roman" w:eastAsia="宋体" w:hAnsi="Times New Roman" w:cs="Times New Roman" w:hint="eastAsia"/>
          <w:sz w:val="24"/>
          <w:szCs w:val="24"/>
        </w:rPr>
        <w:t>生产的</w:t>
      </w:r>
      <w:proofErr w:type="gramStart"/>
      <w:r w:rsidR="00827AE3" w:rsidRPr="00827AE3">
        <w:rPr>
          <w:rFonts w:ascii="Times New Roman" w:eastAsia="宋体" w:hAnsi="Times New Roman" w:cs="Times New Roman" w:hint="eastAsia"/>
          <w:sz w:val="24"/>
          <w:szCs w:val="24"/>
        </w:rPr>
        <w:t>氯沙坦钾氢氯噻嗪</w:t>
      </w:r>
      <w:proofErr w:type="gramEnd"/>
      <w:r w:rsidR="00827AE3" w:rsidRPr="00827AE3">
        <w:rPr>
          <w:rFonts w:ascii="Times New Roman" w:eastAsia="宋体" w:hAnsi="Times New Roman" w:cs="Times New Roman" w:hint="eastAsia"/>
          <w:sz w:val="24"/>
          <w:szCs w:val="24"/>
        </w:rPr>
        <w:t>片</w:t>
      </w:r>
      <w:r w:rsidRPr="00827AE3">
        <w:rPr>
          <w:rFonts w:ascii="Times New Roman" w:eastAsia="宋体" w:hAnsi="Times New Roman" w:cs="Times New Roman" w:hint="eastAsia"/>
          <w:sz w:val="24"/>
          <w:szCs w:val="24"/>
        </w:rPr>
        <w:t>通过仿制药质量与疗效一致性评价。</w:t>
      </w:r>
    </w:p>
    <w:p w:rsidR="001D2DC5" w:rsidRPr="0058289E" w:rsidRDefault="001D2DC5" w:rsidP="001D2DC5">
      <w:pPr>
        <w:widowControl/>
        <w:spacing w:line="36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</w:p>
    <w:p w:rsidR="001A7E3A" w:rsidRPr="0058289E" w:rsidRDefault="001A7E3A">
      <w:pPr>
        <w:rPr>
          <w:color w:val="FF0000"/>
        </w:rPr>
      </w:pPr>
    </w:p>
    <w:sectPr w:rsidR="001A7E3A" w:rsidRPr="0058289E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783" w:rsidRDefault="00A92783" w:rsidP="001D2DC5">
      <w:r>
        <w:separator/>
      </w:r>
    </w:p>
  </w:endnote>
  <w:endnote w:type="continuationSeparator" w:id="0">
    <w:p w:rsidR="00A92783" w:rsidRDefault="00A92783" w:rsidP="001D2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2218194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222443" w:rsidRPr="002E1777" w:rsidRDefault="00544098" w:rsidP="00544098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3D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13D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783" w:rsidRDefault="00A92783" w:rsidP="001D2DC5">
      <w:r>
        <w:separator/>
      </w:r>
    </w:p>
  </w:footnote>
  <w:footnote w:type="continuationSeparator" w:id="0">
    <w:p w:rsidR="00A92783" w:rsidRDefault="00A92783" w:rsidP="001D2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CE"/>
    <w:rsid w:val="0000654E"/>
    <w:rsid w:val="00025F95"/>
    <w:rsid w:val="000404A0"/>
    <w:rsid w:val="00070031"/>
    <w:rsid w:val="00087A3C"/>
    <w:rsid w:val="000D01A2"/>
    <w:rsid w:val="000D6F3A"/>
    <w:rsid w:val="000F5606"/>
    <w:rsid w:val="001524F4"/>
    <w:rsid w:val="001669A3"/>
    <w:rsid w:val="001737F8"/>
    <w:rsid w:val="001A7E3A"/>
    <w:rsid w:val="001C2A15"/>
    <w:rsid w:val="001C2A42"/>
    <w:rsid w:val="001D2DC5"/>
    <w:rsid w:val="001F2B5B"/>
    <w:rsid w:val="00216F8D"/>
    <w:rsid w:val="00246F34"/>
    <w:rsid w:val="002519B9"/>
    <w:rsid w:val="00255676"/>
    <w:rsid w:val="00276F00"/>
    <w:rsid w:val="00283E13"/>
    <w:rsid w:val="002A3F02"/>
    <w:rsid w:val="003362B9"/>
    <w:rsid w:val="003564CE"/>
    <w:rsid w:val="00361774"/>
    <w:rsid w:val="003679C9"/>
    <w:rsid w:val="003716B8"/>
    <w:rsid w:val="003735CE"/>
    <w:rsid w:val="00374FA0"/>
    <w:rsid w:val="003847FE"/>
    <w:rsid w:val="003A57A3"/>
    <w:rsid w:val="003B7B87"/>
    <w:rsid w:val="003D593B"/>
    <w:rsid w:val="003F76F3"/>
    <w:rsid w:val="0041110A"/>
    <w:rsid w:val="004251EA"/>
    <w:rsid w:val="00430A88"/>
    <w:rsid w:val="0043776B"/>
    <w:rsid w:val="00466046"/>
    <w:rsid w:val="0046784F"/>
    <w:rsid w:val="00470EB2"/>
    <w:rsid w:val="004712B6"/>
    <w:rsid w:val="00485719"/>
    <w:rsid w:val="00490E7C"/>
    <w:rsid w:val="004A332F"/>
    <w:rsid w:val="004A3F70"/>
    <w:rsid w:val="004B2BE6"/>
    <w:rsid w:val="004C0B8D"/>
    <w:rsid w:val="004C436C"/>
    <w:rsid w:val="004D5B4D"/>
    <w:rsid w:val="004E6D42"/>
    <w:rsid w:val="004F1C3E"/>
    <w:rsid w:val="004F66A5"/>
    <w:rsid w:val="00500560"/>
    <w:rsid w:val="00512BE9"/>
    <w:rsid w:val="005130D5"/>
    <w:rsid w:val="005265A0"/>
    <w:rsid w:val="00537264"/>
    <w:rsid w:val="00544098"/>
    <w:rsid w:val="00564948"/>
    <w:rsid w:val="0058289E"/>
    <w:rsid w:val="0058485A"/>
    <w:rsid w:val="005C22A6"/>
    <w:rsid w:val="005E2F06"/>
    <w:rsid w:val="0060124C"/>
    <w:rsid w:val="00634F26"/>
    <w:rsid w:val="00645FAD"/>
    <w:rsid w:val="00653EF4"/>
    <w:rsid w:val="0066787F"/>
    <w:rsid w:val="00674D74"/>
    <w:rsid w:val="0068370A"/>
    <w:rsid w:val="00693B7C"/>
    <w:rsid w:val="00694247"/>
    <w:rsid w:val="006969B2"/>
    <w:rsid w:val="0069752D"/>
    <w:rsid w:val="006A25AD"/>
    <w:rsid w:val="006B4E40"/>
    <w:rsid w:val="006C057B"/>
    <w:rsid w:val="006C0771"/>
    <w:rsid w:val="006D169B"/>
    <w:rsid w:val="006E6AB4"/>
    <w:rsid w:val="006F0C3B"/>
    <w:rsid w:val="00702BA0"/>
    <w:rsid w:val="00702C30"/>
    <w:rsid w:val="00712FA9"/>
    <w:rsid w:val="00716523"/>
    <w:rsid w:val="00734516"/>
    <w:rsid w:val="00753EA6"/>
    <w:rsid w:val="007631AE"/>
    <w:rsid w:val="007A4A4F"/>
    <w:rsid w:val="007D31CF"/>
    <w:rsid w:val="007E2FFC"/>
    <w:rsid w:val="007F4024"/>
    <w:rsid w:val="008024FA"/>
    <w:rsid w:val="00814D76"/>
    <w:rsid w:val="0082237B"/>
    <w:rsid w:val="00827AE3"/>
    <w:rsid w:val="00833F16"/>
    <w:rsid w:val="00834A8F"/>
    <w:rsid w:val="0083784A"/>
    <w:rsid w:val="00856ED4"/>
    <w:rsid w:val="00861D58"/>
    <w:rsid w:val="00872CB4"/>
    <w:rsid w:val="008A01AC"/>
    <w:rsid w:val="008A553A"/>
    <w:rsid w:val="008A71CD"/>
    <w:rsid w:val="008E08C4"/>
    <w:rsid w:val="008E48D8"/>
    <w:rsid w:val="00911D7F"/>
    <w:rsid w:val="00912877"/>
    <w:rsid w:val="0094298D"/>
    <w:rsid w:val="009601CA"/>
    <w:rsid w:val="00971672"/>
    <w:rsid w:val="009C7321"/>
    <w:rsid w:val="009E441C"/>
    <w:rsid w:val="00A0018B"/>
    <w:rsid w:val="00A37661"/>
    <w:rsid w:val="00A47F2E"/>
    <w:rsid w:val="00A5531E"/>
    <w:rsid w:val="00A60B13"/>
    <w:rsid w:val="00A92783"/>
    <w:rsid w:val="00AA58EF"/>
    <w:rsid w:val="00AB629B"/>
    <w:rsid w:val="00AB7566"/>
    <w:rsid w:val="00AC14A2"/>
    <w:rsid w:val="00AC2F14"/>
    <w:rsid w:val="00AE4105"/>
    <w:rsid w:val="00AF242B"/>
    <w:rsid w:val="00AF3C83"/>
    <w:rsid w:val="00B07F8D"/>
    <w:rsid w:val="00B142F1"/>
    <w:rsid w:val="00B34C01"/>
    <w:rsid w:val="00B35FEE"/>
    <w:rsid w:val="00B6215F"/>
    <w:rsid w:val="00B8166C"/>
    <w:rsid w:val="00B85D92"/>
    <w:rsid w:val="00B96D43"/>
    <w:rsid w:val="00B96DE8"/>
    <w:rsid w:val="00BA0651"/>
    <w:rsid w:val="00BA13B2"/>
    <w:rsid w:val="00BA4A0E"/>
    <w:rsid w:val="00BB6B6B"/>
    <w:rsid w:val="00C25F17"/>
    <w:rsid w:val="00C32AE4"/>
    <w:rsid w:val="00C345FE"/>
    <w:rsid w:val="00C55F88"/>
    <w:rsid w:val="00C724F8"/>
    <w:rsid w:val="00C75DA6"/>
    <w:rsid w:val="00C76D9D"/>
    <w:rsid w:val="00CA2913"/>
    <w:rsid w:val="00CA6DB2"/>
    <w:rsid w:val="00CB45F2"/>
    <w:rsid w:val="00CB4993"/>
    <w:rsid w:val="00CB70D9"/>
    <w:rsid w:val="00CC18BD"/>
    <w:rsid w:val="00CE37F3"/>
    <w:rsid w:val="00CF2031"/>
    <w:rsid w:val="00CF5B2A"/>
    <w:rsid w:val="00D12291"/>
    <w:rsid w:val="00D273F6"/>
    <w:rsid w:val="00D346CD"/>
    <w:rsid w:val="00D40A13"/>
    <w:rsid w:val="00D40C0A"/>
    <w:rsid w:val="00D40CC2"/>
    <w:rsid w:val="00D5238F"/>
    <w:rsid w:val="00D52407"/>
    <w:rsid w:val="00D54123"/>
    <w:rsid w:val="00D63F3A"/>
    <w:rsid w:val="00D7760C"/>
    <w:rsid w:val="00D82315"/>
    <w:rsid w:val="00D84AD6"/>
    <w:rsid w:val="00DA4815"/>
    <w:rsid w:val="00DC4E84"/>
    <w:rsid w:val="00DC72F5"/>
    <w:rsid w:val="00DD447E"/>
    <w:rsid w:val="00DF69F2"/>
    <w:rsid w:val="00E167BA"/>
    <w:rsid w:val="00E204B9"/>
    <w:rsid w:val="00E24039"/>
    <w:rsid w:val="00E24C1E"/>
    <w:rsid w:val="00E405A8"/>
    <w:rsid w:val="00E57FDF"/>
    <w:rsid w:val="00E62B72"/>
    <w:rsid w:val="00E6792F"/>
    <w:rsid w:val="00E763FA"/>
    <w:rsid w:val="00EA6980"/>
    <w:rsid w:val="00EC731E"/>
    <w:rsid w:val="00F50F17"/>
    <w:rsid w:val="00F74604"/>
    <w:rsid w:val="00F767C9"/>
    <w:rsid w:val="00F82B4D"/>
    <w:rsid w:val="00F85920"/>
    <w:rsid w:val="00F9798B"/>
    <w:rsid w:val="00FA3CE4"/>
    <w:rsid w:val="00FA5270"/>
    <w:rsid w:val="00FB26DC"/>
    <w:rsid w:val="00FD3535"/>
    <w:rsid w:val="00FE1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08DE90-8B44-4FBE-B66B-EDA9F367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2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2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2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2DC5"/>
    <w:rPr>
      <w:sz w:val="18"/>
      <w:szCs w:val="18"/>
    </w:rPr>
  </w:style>
  <w:style w:type="table" w:styleId="a7">
    <w:name w:val="Table Grid"/>
    <w:basedOn w:val="a1"/>
    <w:uiPriority w:val="59"/>
    <w:qFormat/>
    <w:rsid w:val="001D2DC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潘鹏玉</dc:creator>
  <cp:keywords/>
  <dc:description/>
  <cp:lastModifiedBy>刘霏霏</cp:lastModifiedBy>
  <cp:revision>43</cp:revision>
  <dcterms:created xsi:type="dcterms:W3CDTF">2018-07-30T06:44:00Z</dcterms:created>
  <dcterms:modified xsi:type="dcterms:W3CDTF">2022-04-14T02:54:00Z</dcterms:modified>
</cp:coreProperties>
</file>