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BA4A0E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color w:val="FF0000"/>
          <w:sz w:val="32"/>
          <w:szCs w:val="30"/>
        </w:rPr>
      </w:pPr>
      <w:r w:rsidRPr="006E6AB4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BA4A0E" w:rsidRDefault="006B4E40" w:rsidP="006B4E40">
      <w:pPr>
        <w:widowControl/>
        <w:jc w:val="center"/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</w:pPr>
    </w:p>
    <w:p w:rsidR="001D2DC5" w:rsidRPr="00BA4A0E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A4A0E">
        <w:rPr>
          <w:rFonts w:ascii="Times New Roman" w:eastAsia="黑体" w:hAnsi="Times New Roman" w:cs="Times New Roman"/>
          <w:sz w:val="24"/>
          <w:szCs w:val="24"/>
        </w:rPr>
        <w:t>1.</w:t>
      </w:r>
      <w:r w:rsidRPr="00BA4A0E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BA4A0E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马来酸依那普利片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Enalapril</w:t>
            </w:r>
            <w:proofErr w:type="spellEnd"/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D2DC5"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剂；</w:t>
            </w: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10mg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上海现代制药股份有限公司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上海市浦东</w:t>
            </w:r>
            <w:proofErr w:type="gramStart"/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新区建陆路</w:t>
            </w:r>
            <w:proofErr w:type="gramEnd"/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378</w:t>
            </w: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号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上海</w:t>
            </w:r>
            <w:bookmarkStart w:id="0" w:name="_GoBack"/>
            <w:bookmarkEnd w:id="0"/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现代制药股份有限公司</w:t>
            </w:r>
          </w:p>
        </w:tc>
      </w:tr>
      <w:tr w:rsidR="00BA4A0E" w:rsidRPr="00BA4A0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国药准字</w:t>
            </w: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en-GB"/>
              </w:rPr>
              <w:t>H31021938</w:t>
            </w:r>
          </w:p>
        </w:tc>
      </w:tr>
      <w:tr w:rsidR="00BA4A0E" w:rsidRPr="00BA4A0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BA4A0E" w:rsidRPr="00BA4A0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BA4A0E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BA4A0E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A4A0E" w:rsidRPr="00BA4A0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040002</w:t>
            </w:r>
          </w:p>
        </w:tc>
      </w:tr>
      <w:tr w:rsidR="00BA4A0E" w:rsidRPr="00BA4A0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3E59D8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59D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3E59D8" w:rsidRDefault="003E59D8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59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A4A0E" w:rsidRPr="00BA4A0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BA4A0E" w:rsidRPr="00BA4A0E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A4A0E" w:rsidRPr="00BA4A0E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B202000072-01</w:t>
            </w:r>
          </w:p>
        </w:tc>
      </w:tr>
      <w:tr w:rsidR="00BA4A0E" w:rsidRPr="00BA4A0E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安徽医科大学第二附属医院</w:t>
            </w:r>
          </w:p>
        </w:tc>
      </w:tr>
      <w:tr w:rsidR="00BA4A0E" w:rsidRPr="00BA4A0E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北京精迅康达医药科技有限公司合肥分公司</w:t>
            </w:r>
          </w:p>
        </w:tc>
      </w:tr>
      <w:tr w:rsidR="00BA4A0E" w:rsidRPr="00BA4A0E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安徽万邦医药科技股份有限公司</w:t>
            </w:r>
          </w:p>
        </w:tc>
      </w:tr>
      <w:tr w:rsidR="00BA4A0E" w:rsidRPr="00BA4A0E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430A8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随机、开放、空腹</w:t>
            </w:r>
            <w:r w:rsidRPr="00BA4A0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Pr="00BA4A0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餐后、单剂量、两序列、两周期、双交叉生物等效性试验</w:t>
            </w:r>
          </w:p>
        </w:tc>
      </w:tr>
      <w:tr w:rsidR="00BA4A0E" w:rsidRPr="00BA4A0E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BA4A0E" w:rsidRDefault="00BA4A0E" w:rsidP="00BA4A0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血浆中依那普利和依那普利拉</w:t>
            </w:r>
          </w:p>
        </w:tc>
      </w:tr>
      <w:tr w:rsidR="00BA4A0E" w:rsidRPr="00BA4A0E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BA4A0E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A0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UP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BA4A0E" w:rsidRPr="00BA4A0E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BA4A0E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051" w:type="dxa"/>
            <w:vAlign w:val="center"/>
          </w:tcPr>
          <w:p w:rsidR="001D2DC5" w:rsidRPr="00BA4A0E" w:rsidRDefault="006F0C3B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4A0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1D2DC5" w:rsidRPr="00BA4A0E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A4A0E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BA4A0E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BA4A0E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BA4A0E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A4A0E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BA4A0E" w:rsidRPr="00BA4A0E">
        <w:rPr>
          <w:rFonts w:ascii="Times New Roman" w:eastAsia="宋体" w:hAnsi="Times New Roman" w:cs="Times New Roman" w:hint="eastAsia"/>
          <w:sz w:val="24"/>
          <w:szCs w:val="24"/>
        </w:rPr>
        <w:t>马来酸依那普利片</w:t>
      </w:r>
      <w:r w:rsidRPr="00BA4A0E">
        <w:rPr>
          <w:rFonts w:ascii="Times New Roman" w:eastAsia="宋体" w:hAnsi="Times New Roman" w:cs="Times New Roman"/>
          <w:sz w:val="24"/>
          <w:szCs w:val="24"/>
        </w:rPr>
        <w:t>（</w:t>
      </w:r>
      <w:r w:rsidR="00BA4A0E" w:rsidRPr="00BA4A0E">
        <w:rPr>
          <w:rFonts w:ascii="Times New Roman" w:eastAsia="宋体" w:hAnsi="Times New Roman" w:cs="Times New Roman"/>
          <w:sz w:val="24"/>
          <w:szCs w:val="24"/>
        </w:rPr>
        <w:t>10mg</w:t>
      </w:r>
      <w:r w:rsidRPr="00BA4A0E">
        <w:rPr>
          <w:rFonts w:ascii="Times New Roman" w:eastAsia="宋体" w:hAnsi="Times New Roman" w:cs="Times New Roman"/>
          <w:sz w:val="24"/>
          <w:szCs w:val="24"/>
        </w:rPr>
        <w:t>）</w:t>
      </w:r>
      <w:r w:rsidRPr="00BA4A0E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BA4A0E" w:rsidRPr="00BA4A0E">
        <w:rPr>
          <w:rFonts w:ascii="Times New Roman" w:eastAsia="宋体" w:hAnsi="Times New Roman" w:cs="Times New Roman" w:hint="eastAsia"/>
          <w:sz w:val="24"/>
          <w:szCs w:val="24"/>
        </w:rPr>
        <w:t>依那普利</w:t>
      </w:r>
      <w:r w:rsidRPr="00BA4A0E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BA4A0E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BA4A0E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BA4A0E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317" w:type="dxa"/>
        <w:jc w:val="center"/>
        <w:tblLook w:val="04A0" w:firstRow="1" w:lastRow="0" w:firstColumn="1" w:lastColumn="0" w:noHBand="0" w:noVBand="1"/>
      </w:tblPr>
      <w:tblGrid>
        <w:gridCol w:w="1274"/>
        <w:gridCol w:w="2292"/>
        <w:gridCol w:w="1236"/>
        <w:gridCol w:w="1236"/>
        <w:gridCol w:w="1270"/>
        <w:gridCol w:w="2009"/>
      </w:tblGrid>
      <w:tr w:rsidR="00BA4A0E" w:rsidRPr="00BA4A0E" w:rsidTr="00BA4A0E">
        <w:trPr>
          <w:trHeight w:val="405"/>
          <w:jc w:val="center"/>
        </w:trPr>
        <w:tc>
          <w:tcPr>
            <w:tcW w:w="716" w:type="pct"/>
            <w:vMerge w:val="restar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空腹</w:t>
            </w:r>
            <w:r w:rsidRPr="00BA4A0E">
              <w:rPr>
                <w:sz w:val="24"/>
                <w:szCs w:val="24"/>
              </w:rPr>
              <w:t>BE</w:t>
            </w:r>
          </w:p>
          <w:p w:rsidR="00BA4A0E" w:rsidRPr="00BA4A0E" w:rsidRDefault="001D2DC5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（</w:t>
            </w:r>
            <w:r w:rsidR="00BA4A0E" w:rsidRPr="00BA4A0E">
              <w:rPr>
                <w:sz w:val="24"/>
                <w:szCs w:val="24"/>
              </w:rPr>
              <w:t>受试制剂</w:t>
            </w:r>
            <w:r w:rsidR="00BA4A0E" w:rsidRPr="00BA4A0E">
              <w:rPr>
                <w:sz w:val="24"/>
                <w:szCs w:val="24"/>
              </w:rPr>
              <w:t>N=31</w:t>
            </w:r>
            <w:r w:rsidR="00BA4A0E" w:rsidRPr="00BA4A0E">
              <w:rPr>
                <w:sz w:val="24"/>
                <w:szCs w:val="24"/>
              </w:rPr>
              <w:t>，参比制剂</w:t>
            </w:r>
          </w:p>
          <w:p w:rsidR="001D2DC5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N=32</w:t>
            </w:r>
            <w:r w:rsidR="001D2DC5" w:rsidRPr="00BA4A0E">
              <w:rPr>
                <w:sz w:val="24"/>
                <w:szCs w:val="24"/>
              </w:rPr>
              <w:t>）</w:t>
            </w:r>
          </w:p>
        </w:tc>
        <w:tc>
          <w:tcPr>
            <w:tcW w:w="1262" w:type="pct"/>
            <w:vMerge w:val="restar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参数</w:t>
            </w:r>
          </w:p>
        </w:tc>
        <w:tc>
          <w:tcPr>
            <w:tcW w:w="1880" w:type="pct"/>
            <w:gridSpan w:val="3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几何均值及比值</w:t>
            </w:r>
          </w:p>
        </w:tc>
        <w:tc>
          <w:tcPr>
            <w:tcW w:w="1141" w:type="pct"/>
            <w:vMerge w:val="restar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90%CI</w:t>
            </w:r>
          </w:p>
        </w:tc>
      </w:tr>
      <w:tr w:rsidR="00BA4A0E" w:rsidRPr="00BA4A0E" w:rsidTr="00BA4A0E">
        <w:trPr>
          <w:trHeight w:val="405"/>
          <w:jc w:val="center"/>
        </w:trPr>
        <w:tc>
          <w:tcPr>
            <w:tcW w:w="716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T</w:t>
            </w:r>
          </w:p>
        </w:tc>
        <w:tc>
          <w:tcPr>
            <w:tcW w:w="603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R</w:t>
            </w:r>
          </w:p>
        </w:tc>
        <w:tc>
          <w:tcPr>
            <w:tcW w:w="682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sz w:val="24"/>
                <w:szCs w:val="24"/>
              </w:rPr>
              <w:t>T/R</w:t>
            </w:r>
            <w:r w:rsidRPr="00BA4A0E">
              <w:rPr>
                <w:sz w:val="24"/>
                <w:szCs w:val="24"/>
              </w:rPr>
              <w:t>）</w:t>
            </w:r>
            <w:r w:rsidRPr="00BA4A0E">
              <w:rPr>
                <w:sz w:val="24"/>
                <w:szCs w:val="24"/>
              </w:rPr>
              <w:t>%</w:t>
            </w:r>
          </w:p>
        </w:tc>
        <w:tc>
          <w:tcPr>
            <w:tcW w:w="1141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BA4A0E" w:rsidRPr="00BA4A0E" w:rsidTr="00BA4A0E">
        <w:trPr>
          <w:trHeight w:val="441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AUC</w:t>
            </w:r>
            <w:r w:rsidRPr="00BA4A0E">
              <w:rPr>
                <w:sz w:val="24"/>
                <w:szCs w:val="24"/>
                <w:vertAlign w:val="subscript"/>
              </w:rPr>
              <w:t>0-t</w:t>
            </w: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rFonts w:eastAsia="等线"/>
                <w:kern w:val="2"/>
                <w:sz w:val="24"/>
                <w:szCs w:val="24"/>
              </w:rPr>
              <w:t>h*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137823.52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137988.06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99.88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94.89-105.13</w:t>
            </w:r>
          </w:p>
        </w:tc>
      </w:tr>
      <w:tr w:rsidR="00BA4A0E" w:rsidRPr="00BA4A0E" w:rsidTr="00BA4A0E">
        <w:trPr>
          <w:trHeight w:val="405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AUC</w:t>
            </w:r>
            <w:r w:rsidRPr="00BA4A0E">
              <w:rPr>
                <w:sz w:val="24"/>
                <w:szCs w:val="24"/>
                <w:vertAlign w:val="subscript"/>
              </w:rPr>
              <w:t>0-∞</w:t>
            </w: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rFonts w:eastAsia="等线"/>
                <w:kern w:val="2"/>
                <w:sz w:val="24"/>
                <w:szCs w:val="24"/>
              </w:rPr>
              <w:t>h*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138228.76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138369.32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99.90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95.00-105.05</w:t>
            </w:r>
          </w:p>
        </w:tc>
      </w:tr>
      <w:tr w:rsidR="00BA4A0E" w:rsidRPr="00BA4A0E" w:rsidTr="00BA4A0E">
        <w:trPr>
          <w:trHeight w:val="406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proofErr w:type="spellStart"/>
            <w:r w:rsidRPr="00BA4A0E">
              <w:rPr>
                <w:sz w:val="24"/>
                <w:szCs w:val="24"/>
              </w:rPr>
              <w:t>C</w:t>
            </w:r>
            <w:r w:rsidRPr="00BA4A0E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BA4A0E">
              <w:rPr>
                <w:sz w:val="24"/>
                <w:szCs w:val="24"/>
              </w:rPr>
              <w:t>（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81662.19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80597.68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rFonts w:eastAsia="等线"/>
                <w:kern w:val="2"/>
                <w:sz w:val="24"/>
                <w:szCs w:val="24"/>
              </w:rPr>
              <w:t>101.32</w:t>
            </w:r>
          </w:p>
        </w:tc>
        <w:tc>
          <w:tcPr>
            <w:tcW w:w="1141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rFonts w:eastAsia="等线"/>
                <w:kern w:val="2"/>
                <w:sz w:val="24"/>
                <w:szCs w:val="24"/>
              </w:rPr>
              <w:t>93.75-109.50</w:t>
            </w:r>
          </w:p>
        </w:tc>
      </w:tr>
      <w:tr w:rsidR="00BA4A0E" w:rsidRPr="00BA4A0E" w:rsidTr="00BA4A0E">
        <w:trPr>
          <w:trHeight w:val="405"/>
          <w:jc w:val="center"/>
        </w:trPr>
        <w:tc>
          <w:tcPr>
            <w:tcW w:w="716" w:type="pct"/>
            <w:vMerge w:val="restart"/>
            <w:vAlign w:val="center"/>
          </w:tcPr>
          <w:p w:rsidR="001D2DC5" w:rsidRPr="00BA4A0E" w:rsidRDefault="001D2DC5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餐后</w:t>
            </w:r>
            <w:r w:rsidRPr="00BA4A0E">
              <w:rPr>
                <w:sz w:val="24"/>
                <w:szCs w:val="24"/>
              </w:rPr>
              <w:t>BE</w:t>
            </w: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sz w:val="24"/>
                <w:szCs w:val="24"/>
              </w:rPr>
              <w:t>n=</w:t>
            </w:r>
            <w:r w:rsidR="00BA4A0E" w:rsidRPr="00BA4A0E">
              <w:rPr>
                <w:sz w:val="24"/>
                <w:szCs w:val="24"/>
              </w:rPr>
              <w:t>31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1262" w:type="pct"/>
            <w:vMerge w:val="restar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参数</w:t>
            </w:r>
          </w:p>
        </w:tc>
        <w:tc>
          <w:tcPr>
            <w:tcW w:w="1880" w:type="pct"/>
            <w:gridSpan w:val="3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几何均值及比值</w:t>
            </w:r>
          </w:p>
        </w:tc>
        <w:tc>
          <w:tcPr>
            <w:tcW w:w="1141" w:type="pct"/>
            <w:vMerge w:val="restar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90%CI</w:t>
            </w:r>
          </w:p>
        </w:tc>
      </w:tr>
      <w:tr w:rsidR="00BA4A0E" w:rsidRPr="00BA4A0E" w:rsidTr="00BA4A0E">
        <w:trPr>
          <w:trHeight w:val="405"/>
          <w:jc w:val="center"/>
        </w:trPr>
        <w:tc>
          <w:tcPr>
            <w:tcW w:w="716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T</w:t>
            </w:r>
          </w:p>
        </w:tc>
        <w:tc>
          <w:tcPr>
            <w:tcW w:w="603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R</w:t>
            </w:r>
          </w:p>
        </w:tc>
        <w:tc>
          <w:tcPr>
            <w:tcW w:w="682" w:type="pct"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sz w:val="24"/>
                <w:szCs w:val="24"/>
              </w:rPr>
              <w:t>T/R</w:t>
            </w:r>
            <w:r w:rsidRPr="00BA4A0E">
              <w:rPr>
                <w:sz w:val="24"/>
                <w:szCs w:val="24"/>
              </w:rPr>
              <w:t>）</w:t>
            </w:r>
            <w:r w:rsidRPr="00BA4A0E">
              <w:rPr>
                <w:sz w:val="24"/>
                <w:szCs w:val="24"/>
              </w:rPr>
              <w:t>%</w:t>
            </w:r>
          </w:p>
        </w:tc>
        <w:tc>
          <w:tcPr>
            <w:tcW w:w="1141" w:type="pct"/>
            <w:vMerge/>
            <w:vAlign w:val="center"/>
          </w:tcPr>
          <w:p w:rsidR="001D2DC5" w:rsidRPr="00BA4A0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BA4A0E" w:rsidRPr="00BA4A0E" w:rsidTr="00BA4A0E">
        <w:trPr>
          <w:trHeight w:val="434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AUC</w:t>
            </w:r>
            <w:r w:rsidRPr="00BA4A0E">
              <w:rPr>
                <w:sz w:val="24"/>
                <w:szCs w:val="24"/>
                <w:vertAlign w:val="subscript"/>
              </w:rPr>
              <w:t>0-t</w:t>
            </w: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rFonts w:eastAsia="等线"/>
                <w:kern w:val="2"/>
                <w:sz w:val="24"/>
                <w:szCs w:val="24"/>
              </w:rPr>
              <w:t>h*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120485.43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116459.64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103.46%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100.32-106.69</w:t>
            </w:r>
          </w:p>
        </w:tc>
      </w:tr>
      <w:tr w:rsidR="00BA4A0E" w:rsidRPr="00BA4A0E" w:rsidTr="00BA4A0E">
        <w:trPr>
          <w:trHeight w:val="464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</w:rPr>
              <w:t>AUC</w:t>
            </w:r>
            <w:r w:rsidRPr="00BA4A0E">
              <w:rPr>
                <w:sz w:val="24"/>
                <w:szCs w:val="24"/>
                <w:vertAlign w:val="subscript"/>
              </w:rPr>
              <w:t>0-∞</w:t>
            </w:r>
            <w:r w:rsidRPr="00BA4A0E">
              <w:rPr>
                <w:sz w:val="24"/>
                <w:szCs w:val="24"/>
              </w:rPr>
              <w:t>（</w:t>
            </w:r>
            <w:r w:rsidRPr="00BA4A0E">
              <w:rPr>
                <w:rFonts w:eastAsia="等线"/>
                <w:kern w:val="2"/>
                <w:sz w:val="24"/>
                <w:szCs w:val="24"/>
              </w:rPr>
              <w:t>h*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121120.47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117191.95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103.35%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100.18-106.62</w:t>
            </w:r>
          </w:p>
        </w:tc>
      </w:tr>
      <w:tr w:rsidR="00BA4A0E" w:rsidRPr="00BA4A0E" w:rsidTr="00BA4A0E">
        <w:trPr>
          <w:trHeight w:val="493"/>
          <w:jc w:val="center"/>
        </w:trPr>
        <w:tc>
          <w:tcPr>
            <w:tcW w:w="716" w:type="pct"/>
            <w:vMerge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proofErr w:type="spellStart"/>
            <w:r w:rsidRPr="00BA4A0E">
              <w:rPr>
                <w:sz w:val="24"/>
                <w:szCs w:val="24"/>
              </w:rPr>
              <w:t>C</w:t>
            </w:r>
            <w:r w:rsidRPr="00BA4A0E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BA4A0E">
              <w:rPr>
                <w:sz w:val="24"/>
                <w:szCs w:val="24"/>
              </w:rPr>
              <w:t>（</w:t>
            </w:r>
            <w:proofErr w:type="spellStart"/>
            <w:r w:rsidRPr="00BA4A0E">
              <w:rPr>
                <w:rFonts w:eastAsia="等线"/>
                <w:kern w:val="2"/>
                <w:sz w:val="24"/>
                <w:szCs w:val="24"/>
              </w:rPr>
              <w:t>pg</w:t>
            </w:r>
            <w:proofErr w:type="spellEnd"/>
            <w:r w:rsidRPr="00BA4A0E">
              <w:rPr>
                <w:rFonts w:eastAsia="等线"/>
                <w:kern w:val="2"/>
                <w:sz w:val="24"/>
                <w:szCs w:val="24"/>
              </w:rPr>
              <w:t>/mL</w:t>
            </w:r>
            <w:r w:rsidRPr="00BA4A0E">
              <w:rPr>
                <w:sz w:val="24"/>
                <w:szCs w:val="24"/>
              </w:rPr>
              <w:t>）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58930.25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53910.15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A0E" w:rsidRPr="00BA4A0E" w:rsidRDefault="00BA4A0E" w:rsidP="00BA4A0E">
            <w:pPr>
              <w:widowControl/>
              <w:jc w:val="center"/>
              <w:textAlignment w:val="center"/>
              <w:rPr>
                <w:sz w:val="24"/>
                <w:szCs w:val="24"/>
              </w:rPr>
            </w:pPr>
            <w:r w:rsidRPr="00BA4A0E">
              <w:rPr>
                <w:sz w:val="24"/>
                <w:szCs w:val="24"/>
                <w:lang w:bidi="ar"/>
              </w:rPr>
              <w:t>109.31%</w:t>
            </w:r>
          </w:p>
        </w:tc>
        <w:tc>
          <w:tcPr>
            <w:tcW w:w="1141" w:type="pct"/>
            <w:vAlign w:val="center"/>
          </w:tcPr>
          <w:p w:rsidR="00BA4A0E" w:rsidRPr="00BA4A0E" w:rsidRDefault="00BA4A0E" w:rsidP="00BA4A0E">
            <w:pPr>
              <w:jc w:val="center"/>
              <w:rPr>
                <w:sz w:val="24"/>
                <w:szCs w:val="24"/>
              </w:rPr>
            </w:pPr>
            <w:r w:rsidRPr="00BA4A0E">
              <w:rPr>
                <w:rFonts w:eastAsia="等线"/>
                <w:sz w:val="24"/>
                <w:szCs w:val="24"/>
                <w:lang w:bidi="ar"/>
              </w:rPr>
              <w:t>100.58-118.80</w:t>
            </w:r>
          </w:p>
        </w:tc>
      </w:tr>
    </w:tbl>
    <w:p w:rsidR="001D2DC5" w:rsidRPr="00BA4A0E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A4A0E">
        <w:rPr>
          <w:rFonts w:ascii="Times New Roman" w:eastAsia="黑体" w:hAnsi="Times New Roman" w:cs="Times New Roman"/>
          <w:sz w:val="24"/>
          <w:szCs w:val="24"/>
        </w:rPr>
        <w:t>3.</w:t>
      </w:r>
      <w:r w:rsidRPr="00BA4A0E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BA4A0E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A4A0E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BA4A0E" w:rsidRPr="00BA4A0E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上海现代制药股份有限公司生产的马来酸依那普利片</w:t>
      </w:r>
      <w:r w:rsidRPr="00BA4A0E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BA4A0E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BA4A0E" w:rsidRDefault="001A7E3A">
      <w:pPr>
        <w:rPr>
          <w:color w:val="FF0000"/>
        </w:rPr>
      </w:pPr>
    </w:p>
    <w:sectPr w:rsidR="001A7E3A" w:rsidRPr="00BA4A0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35" w:rsidRDefault="00363935" w:rsidP="001D2DC5">
      <w:r>
        <w:separator/>
      </w:r>
    </w:p>
  </w:endnote>
  <w:endnote w:type="continuationSeparator" w:id="0">
    <w:p w:rsidR="00363935" w:rsidRDefault="00363935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9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9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35" w:rsidRDefault="00363935" w:rsidP="001D2DC5">
      <w:r>
        <w:separator/>
      </w:r>
    </w:p>
  </w:footnote>
  <w:footnote w:type="continuationSeparator" w:id="0">
    <w:p w:rsidR="00363935" w:rsidRDefault="00363935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6F8D"/>
    <w:rsid w:val="00246F34"/>
    <w:rsid w:val="002519B9"/>
    <w:rsid w:val="00255676"/>
    <w:rsid w:val="00276F00"/>
    <w:rsid w:val="00283E13"/>
    <w:rsid w:val="002A3F02"/>
    <w:rsid w:val="003362B9"/>
    <w:rsid w:val="003564CE"/>
    <w:rsid w:val="00361774"/>
    <w:rsid w:val="00363935"/>
    <w:rsid w:val="003716B8"/>
    <w:rsid w:val="003735CE"/>
    <w:rsid w:val="003847FE"/>
    <w:rsid w:val="003A57A3"/>
    <w:rsid w:val="003B7B87"/>
    <w:rsid w:val="003E59D8"/>
    <w:rsid w:val="003F76F3"/>
    <w:rsid w:val="0041110A"/>
    <w:rsid w:val="004251EA"/>
    <w:rsid w:val="00430A88"/>
    <w:rsid w:val="0043776B"/>
    <w:rsid w:val="00466046"/>
    <w:rsid w:val="0046784F"/>
    <w:rsid w:val="00470EB2"/>
    <w:rsid w:val="00485719"/>
    <w:rsid w:val="00490E7C"/>
    <w:rsid w:val="004A332F"/>
    <w:rsid w:val="004A3F70"/>
    <w:rsid w:val="004B2BE6"/>
    <w:rsid w:val="004C0B8D"/>
    <w:rsid w:val="004C436C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E6AB4"/>
    <w:rsid w:val="006F0C3B"/>
    <w:rsid w:val="00702BA0"/>
    <w:rsid w:val="00702C30"/>
    <w:rsid w:val="00712FA9"/>
    <w:rsid w:val="00716523"/>
    <w:rsid w:val="00734516"/>
    <w:rsid w:val="00753EA6"/>
    <w:rsid w:val="007631AE"/>
    <w:rsid w:val="007A4A4F"/>
    <w:rsid w:val="007D31CF"/>
    <w:rsid w:val="007E2FFC"/>
    <w:rsid w:val="007F4024"/>
    <w:rsid w:val="008024FA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9E441C"/>
    <w:rsid w:val="00A0018B"/>
    <w:rsid w:val="00A47F2E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A4A0E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798B"/>
    <w:rsid w:val="00FA3CE4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29</cp:revision>
  <dcterms:created xsi:type="dcterms:W3CDTF">2018-07-30T06:44:00Z</dcterms:created>
  <dcterms:modified xsi:type="dcterms:W3CDTF">2022-04-14T02:51:00Z</dcterms:modified>
</cp:coreProperties>
</file>