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缬沙坦胶囊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Valsartan Capsules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877BC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1530C6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 w:rsidR="009868E6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永信药品工业（昆山）股份有限公司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江苏省昆山市陆家镇金阳西路</w:t>
            </w:r>
            <w:r w:rsidRPr="00811B4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191</w:t>
            </w:r>
            <w:r w:rsidRPr="00811B4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号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永信药品工业（昆山）股份有限公司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国药准字</w:t>
            </w:r>
            <w:r w:rsidRPr="00811B4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H20030035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811B4F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811B4F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811B4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811B4F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B11091" w:rsidRPr="00811B4F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  <w:bookmarkStart w:id="0" w:name="_GoBack"/>
            <w:bookmarkEnd w:id="0"/>
          </w:p>
          <w:p w:rsidR="00B11091" w:rsidRPr="00811B4F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811B4F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811B4F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11B4F" w:rsidRDefault="00877BCB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color="000000"/>
              </w:rPr>
              <w:t>14RN003A</w:t>
            </w:r>
          </w:p>
        </w:tc>
      </w:tr>
      <w:tr w:rsidR="00B11C80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8B1C5F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C5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8B1C5F" w:rsidRDefault="008B1C5F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C5F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永信药品工业（昆山）股份有限公司</w:t>
            </w:r>
          </w:p>
        </w:tc>
      </w:tr>
      <w:tr w:rsidR="00B11C80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8B1C5F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C5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8B1C5F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C5F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8B1C5F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811B4F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811B4F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811B4F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811B4F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:rsidR="00B11091" w:rsidRPr="00811B4F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811B4F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B201800377-03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11B4F">
              <w:rPr>
                <w:rFonts w:ascii="Times New Roman" w:hAnsi="Times New Roman"/>
                <w:sz w:val="24"/>
                <w:szCs w:val="24"/>
              </w:rPr>
              <w:t>上海市徐汇区中心医院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11B4F">
              <w:rPr>
                <w:rFonts w:ascii="Times New Roman" w:hAnsi="Times New Roman"/>
                <w:sz w:val="24"/>
                <w:szCs w:val="24"/>
              </w:rPr>
              <w:t>维杰建医药科技（上海）有限公司</w:t>
            </w:r>
          </w:p>
        </w:tc>
      </w:tr>
      <w:tr w:rsidR="00B11091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11B4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11B4F" w:rsidRDefault="00877BCB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11B4F">
              <w:rPr>
                <w:rFonts w:ascii="Times New Roman" w:hAnsi="Times New Roman"/>
                <w:sz w:val="24"/>
                <w:szCs w:val="24"/>
              </w:rPr>
              <w:t>上海市徐汇区中心医院</w:t>
            </w:r>
          </w:p>
        </w:tc>
      </w:tr>
      <w:tr w:rsidR="00635EF5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811B4F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811B4F" w:rsidRDefault="00877BCB" w:rsidP="00877BCB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811B4F">
              <w:rPr>
                <w:rFonts w:ascii="Times New Roman" w:hAnsi="Times New Roman"/>
                <w:sz w:val="24"/>
                <w:szCs w:val="24"/>
              </w:rPr>
              <w:t>开放、随机、单次给药、四周期完全重复性交叉设计</w:t>
            </w:r>
          </w:p>
        </w:tc>
      </w:tr>
      <w:tr w:rsidR="008134A0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811B4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811B4F" w:rsidRDefault="00877BCB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11B4F">
              <w:rPr>
                <w:rFonts w:ascii="Times New Roman" w:hAnsi="Times New Roman"/>
                <w:sz w:val="24"/>
                <w:szCs w:val="24"/>
              </w:rPr>
              <w:t>血浆中的缬沙坦</w:t>
            </w:r>
          </w:p>
        </w:tc>
      </w:tr>
      <w:tr w:rsidR="0066279A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811B4F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811B4F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11B4F">
              <w:rPr>
                <w:rFonts w:ascii="Times New Roman" w:hAnsi="Times New Roman"/>
                <w:sz w:val="24"/>
                <w:szCs w:val="24"/>
              </w:rPr>
              <w:t>LC-MS/MS</w:t>
            </w:r>
            <w:r w:rsidR="00802FDB" w:rsidRPr="00811B4F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811B4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811B4F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B4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811B4F" w:rsidRDefault="00A4245B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11B4F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1250D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1250DF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1250DF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1250DF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1250DF">
        <w:rPr>
          <w:rFonts w:asciiTheme="minorEastAsia" w:hAnsiTheme="minorEastAsia" w:hint="eastAsia"/>
          <w:sz w:val="24"/>
          <w:szCs w:val="24"/>
        </w:rPr>
        <w:t>（</w:t>
      </w:r>
      <w:r w:rsidR="001250DF" w:rsidRPr="001250DF">
        <w:rPr>
          <w:rFonts w:ascii="Times New Roman" w:hAnsi="Times New Roman" w:cs="Times New Roman"/>
          <w:sz w:val="24"/>
          <w:szCs w:val="24"/>
        </w:rPr>
        <w:t>80</w:t>
      </w:r>
      <w:r w:rsidR="00643278" w:rsidRPr="001250DF">
        <w:rPr>
          <w:rFonts w:ascii="Times New Roman" w:hAnsi="Times New Roman" w:cs="Times New Roman"/>
          <w:sz w:val="24"/>
          <w:szCs w:val="24"/>
        </w:rPr>
        <w:t>mg</w:t>
      </w:r>
      <w:r w:rsidR="00B11091" w:rsidRPr="001250DF">
        <w:rPr>
          <w:rFonts w:asciiTheme="minorEastAsia" w:hAnsiTheme="minorEastAsia" w:hint="eastAsia"/>
          <w:sz w:val="24"/>
          <w:szCs w:val="24"/>
        </w:rPr>
        <w:t>规格</w:t>
      </w:r>
      <w:r w:rsidR="00F7673C" w:rsidRPr="001250DF">
        <w:rPr>
          <w:rFonts w:asciiTheme="minorEastAsia" w:hAnsiTheme="minorEastAsia" w:hint="eastAsia"/>
          <w:sz w:val="24"/>
          <w:szCs w:val="24"/>
        </w:rPr>
        <w:t>，</w:t>
      </w:r>
      <w:r w:rsidR="001250DF" w:rsidRPr="001250DF">
        <w:rPr>
          <w:rFonts w:ascii="Times New Roman" w:eastAsia="宋体" w:hAnsi="Times New Roman" w:cs="Times New Roman"/>
          <w:sz w:val="24"/>
          <w:szCs w:val="24"/>
        </w:rPr>
        <w:t>血浆中的缬沙坦</w:t>
      </w:r>
      <w:r w:rsidR="00587924" w:rsidRPr="001250DF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6605" w:type="pct"/>
        <w:jc w:val="center"/>
        <w:tblLayout w:type="fixed"/>
        <w:tblLook w:val="04A0" w:firstRow="1" w:lastRow="0" w:firstColumn="1" w:lastColumn="0" w:noHBand="0" w:noVBand="1"/>
      </w:tblPr>
      <w:tblGrid>
        <w:gridCol w:w="1070"/>
        <w:gridCol w:w="2102"/>
        <w:gridCol w:w="1065"/>
        <w:gridCol w:w="1065"/>
        <w:gridCol w:w="1067"/>
        <w:gridCol w:w="1850"/>
        <w:gridCol w:w="1556"/>
        <w:gridCol w:w="1184"/>
      </w:tblGrid>
      <w:tr w:rsidR="00EE783D" w:rsidRPr="00877BCB" w:rsidTr="00811B4F">
        <w:trPr>
          <w:trHeight w:val="20"/>
          <w:jc w:val="center"/>
        </w:trPr>
        <w:tc>
          <w:tcPr>
            <w:tcW w:w="488" w:type="pct"/>
            <w:vMerge w:val="restar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n=26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959" w:type="pct"/>
            <w:vMerge w:val="restar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459" w:type="pct"/>
            <w:gridSpan w:val="3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44" w:type="pct"/>
            <w:vMerge w:val="restar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710" w:type="pct"/>
            <w:vMerge w:val="restart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bCs/>
                <w:color w:val="000000" w:themeColor="text1"/>
                <w:sz w:val="21"/>
                <w:szCs w:val="21"/>
              </w:rPr>
              <w:t>参比制剂个体内标准差</w:t>
            </w:r>
            <w:r w:rsidRPr="00EE783D">
              <w:rPr>
                <w:rFonts w:ascii="Times New Roman" w:hAnsi="Times New Roman"/>
                <w:bCs/>
                <w:color w:val="000000" w:themeColor="text1"/>
                <w:sz w:val="21"/>
                <w:szCs w:val="21"/>
              </w:rPr>
              <w:t>S</w:t>
            </w:r>
            <w:r w:rsidRPr="00EE783D">
              <w:rPr>
                <w:rFonts w:ascii="Times New Roman" w:hAnsi="Times New Roman"/>
                <w:bCs/>
                <w:color w:val="000000" w:themeColor="text1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40" w:type="pct"/>
            <w:vMerge w:val="restart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单侧</w:t>
            </w:r>
            <w:r w:rsidRPr="00EE783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95%</w:t>
            </w:r>
            <w:r w:rsidRPr="00EE783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置信区间上限</w:t>
            </w:r>
          </w:p>
        </w:tc>
      </w:tr>
      <w:tr w:rsidR="00EE783D" w:rsidRPr="00877BCB" w:rsidTr="00811B4F">
        <w:trPr>
          <w:trHeight w:val="20"/>
          <w:jc w:val="center"/>
        </w:trPr>
        <w:tc>
          <w:tcPr>
            <w:tcW w:w="488" w:type="pct"/>
            <w:vMerge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59" w:type="pct"/>
            <w:vMerge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86" w:type="pct"/>
            <w:tcBorders>
              <w:bottom w:val="single" w:sz="4" w:space="0" w:color="auto"/>
            </w:tcBorders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487" w:type="pct"/>
            <w:tcBorders>
              <w:bottom w:val="single" w:sz="4" w:space="0" w:color="auto"/>
            </w:tcBorders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844" w:type="pct"/>
            <w:vMerge/>
            <w:tcBorders>
              <w:bottom w:val="single" w:sz="4" w:space="0" w:color="auto"/>
            </w:tcBorders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710" w:type="pct"/>
            <w:vMerge/>
            <w:tcBorders>
              <w:bottom w:val="single" w:sz="4" w:space="0" w:color="auto"/>
            </w:tcBorders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540" w:type="pct"/>
            <w:vMerge/>
            <w:tcBorders>
              <w:bottom w:val="single" w:sz="4" w:space="0" w:color="auto"/>
            </w:tcBorders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</w:tr>
      <w:tr w:rsidR="00EE783D" w:rsidRPr="00877BCB" w:rsidTr="00811B4F">
        <w:trPr>
          <w:trHeight w:val="20"/>
          <w:jc w:val="center"/>
        </w:trPr>
        <w:tc>
          <w:tcPr>
            <w:tcW w:w="488" w:type="pct"/>
            <w:vMerge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59" w:type="pc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C</w:t>
            </w:r>
            <w:r w:rsidRPr="00EE783D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6" w:type="pct"/>
            <w:vAlign w:val="center"/>
          </w:tcPr>
          <w:p w:rsidR="00CC3765" w:rsidRPr="00EE783D" w:rsidRDefault="00CC3765" w:rsidP="00EE783D">
            <w:pPr>
              <w:widowControl/>
              <w:jc w:val="center"/>
              <w:textAlignment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2308.10</w:t>
            </w:r>
          </w:p>
        </w:tc>
        <w:tc>
          <w:tcPr>
            <w:tcW w:w="486" w:type="pct"/>
            <w:vAlign w:val="center"/>
          </w:tcPr>
          <w:p w:rsidR="00CC3765" w:rsidRPr="00EE783D" w:rsidRDefault="00CC3765" w:rsidP="00EE783D">
            <w:pPr>
              <w:widowControl/>
              <w:jc w:val="center"/>
              <w:textAlignment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2163.15</w:t>
            </w:r>
          </w:p>
        </w:tc>
        <w:tc>
          <w:tcPr>
            <w:tcW w:w="487" w:type="pct"/>
            <w:vAlign w:val="center"/>
          </w:tcPr>
          <w:p w:rsidR="00CC3765" w:rsidRPr="00EE783D" w:rsidRDefault="00CC3765" w:rsidP="00EE783D">
            <w:pPr>
              <w:widowControl/>
              <w:jc w:val="center"/>
              <w:textAlignment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106.70</w:t>
            </w:r>
          </w:p>
        </w:tc>
        <w:tc>
          <w:tcPr>
            <w:tcW w:w="844" w:type="pct"/>
            <w:vAlign w:val="center"/>
          </w:tcPr>
          <w:p w:rsidR="00CC3765" w:rsidRPr="00EE783D" w:rsidRDefault="00CC3765" w:rsidP="00EE783D">
            <w:pPr>
              <w:widowControl/>
              <w:jc w:val="center"/>
              <w:textAlignment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不适用</w:t>
            </w:r>
          </w:p>
        </w:tc>
        <w:tc>
          <w:tcPr>
            <w:tcW w:w="710" w:type="pct"/>
          </w:tcPr>
          <w:p w:rsidR="00CC3765" w:rsidRPr="00EE783D" w:rsidRDefault="00CC3765" w:rsidP="00EE783D">
            <w:pPr>
              <w:widowControl/>
              <w:jc w:val="center"/>
              <w:textAlignment w:val="center"/>
              <w:rPr>
                <w:bCs/>
                <w:color w:val="000000" w:themeColor="text1"/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0.3259</w:t>
            </w:r>
          </w:p>
        </w:tc>
        <w:tc>
          <w:tcPr>
            <w:tcW w:w="540" w:type="pct"/>
          </w:tcPr>
          <w:p w:rsidR="00CC3765" w:rsidRPr="00EE783D" w:rsidRDefault="00CC3765" w:rsidP="00EE783D">
            <w:pPr>
              <w:widowControl/>
              <w:jc w:val="center"/>
              <w:textAlignment w:val="center"/>
              <w:rPr>
                <w:bCs/>
                <w:color w:val="000000" w:themeColor="text1"/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-0.0407</w:t>
            </w:r>
          </w:p>
        </w:tc>
      </w:tr>
      <w:tr w:rsidR="00EE783D" w:rsidRPr="00877BCB" w:rsidTr="00811B4F">
        <w:trPr>
          <w:trHeight w:val="20"/>
          <w:jc w:val="center"/>
        </w:trPr>
        <w:tc>
          <w:tcPr>
            <w:tcW w:w="488" w:type="pct"/>
            <w:vMerge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59" w:type="pc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AUC</w:t>
            </w:r>
            <w:r w:rsidRPr="00EE783D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6" w:type="pct"/>
            <w:vAlign w:val="center"/>
          </w:tcPr>
          <w:p w:rsidR="00CC3765" w:rsidRPr="00EE783D" w:rsidRDefault="00CC3765" w:rsidP="00EE783D">
            <w:pPr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14486.54</w:t>
            </w:r>
          </w:p>
        </w:tc>
        <w:tc>
          <w:tcPr>
            <w:tcW w:w="486" w:type="pct"/>
            <w:vAlign w:val="center"/>
          </w:tcPr>
          <w:p w:rsidR="00CC3765" w:rsidRPr="00EE783D" w:rsidRDefault="00CC3765" w:rsidP="00EE783D">
            <w:pPr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13520.71</w:t>
            </w:r>
          </w:p>
        </w:tc>
        <w:tc>
          <w:tcPr>
            <w:tcW w:w="487" w:type="pct"/>
            <w:vAlign w:val="center"/>
          </w:tcPr>
          <w:p w:rsidR="00CC3765" w:rsidRPr="00EE783D" w:rsidRDefault="00CC3765" w:rsidP="00EE783D">
            <w:pPr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107.14</w:t>
            </w:r>
          </w:p>
        </w:tc>
        <w:tc>
          <w:tcPr>
            <w:tcW w:w="844" w:type="pct"/>
            <w:vAlign w:val="center"/>
          </w:tcPr>
          <w:p w:rsidR="00CC3765" w:rsidRPr="00EE783D" w:rsidRDefault="00CC3765" w:rsidP="00EE783D">
            <w:pPr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97.87%~117.30%</w:t>
            </w:r>
          </w:p>
        </w:tc>
        <w:tc>
          <w:tcPr>
            <w:tcW w:w="710" w:type="pct"/>
          </w:tcPr>
          <w:p w:rsidR="00CC3765" w:rsidRPr="00EE783D" w:rsidRDefault="00CC3765" w:rsidP="00EE783D">
            <w:pPr>
              <w:jc w:val="center"/>
              <w:rPr>
                <w:bCs/>
                <w:color w:val="000000" w:themeColor="text1"/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0.2612</w:t>
            </w:r>
          </w:p>
        </w:tc>
        <w:tc>
          <w:tcPr>
            <w:tcW w:w="540" w:type="pct"/>
          </w:tcPr>
          <w:p w:rsidR="00CC3765" w:rsidRPr="00EE783D" w:rsidRDefault="00CC3765" w:rsidP="00EE783D">
            <w:pPr>
              <w:jc w:val="center"/>
              <w:rPr>
                <w:bCs/>
                <w:color w:val="000000" w:themeColor="text1"/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不适用</w:t>
            </w:r>
          </w:p>
        </w:tc>
      </w:tr>
      <w:tr w:rsidR="00EE783D" w:rsidRPr="00877BCB" w:rsidTr="00811B4F">
        <w:trPr>
          <w:trHeight w:val="20"/>
          <w:jc w:val="center"/>
        </w:trPr>
        <w:tc>
          <w:tcPr>
            <w:tcW w:w="488" w:type="pct"/>
            <w:vMerge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59" w:type="pc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AUC</w:t>
            </w:r>
            <w:r w:rsidRPr="00EE783D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6" w:type="pct"/>
            <w:vAlign w:val="center"/>
          </w:tcPr>
          <w:p w:rsidR="00CC3765" w:rsidRPr="00EE783D" w:rsidRDefault="00CC3765" w:rsidP="00EE783D">
            <w:pPr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14713.66</w:t>
            </w:r>
          </w:p>
        </w:tc>
        <w:tc>
          <w:tcPr>
            <w:tcW w:w="486" w:type="pct"/>
            <w:vAlign w:val="center"/>
          </w:tcPr>
          <w:p w:rsidR="00CC3765" w:rsidRPr="00EE783D" w:rsidRDefault="00CC3765" w:rsidP="00EE783D">
            <w:pPr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13752.46</w:t>
            </w:r>
          </w:p>
        </w:tc>
        <w:tc>
          <w:tcPr>
            <w:tcW w:w="487" w:type="pct"/>
            <w:vAlign w:val="center"/>
          </w:tcPr>
          <w:p w:rsidR="00CC3765" w:rsidRPr="00EE783D" w:rsidRDefault="00CC3765" w:rsidP="00EE783D">
            <w:pPr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106.99</w:t>
            </w:r>
          </w:p>
        </w:tc>
        <w:tc>
          <w:tcPr>
            <w:tcW w:w="844" w:type="pct"/>
            <w:vAlign w:val="center"/>
          </w:tcPr>
          <w:p w:rsidR="00CC3765" w:rsidRPr="00EE783D" w:rsidRDefault="00CC3765" w:rsidP="00EE783D">
            <w:pPr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97.92%~116.90%</w:t>
            </w:r>
          </w:p>
        </w:tc>
        <w:tc>
          <w:tcPr>
            <w:tcW w:w="710" w:type="pct"/>
          </w:tcPr>
          <w:p w:rsidR="00CC3765" w:rsidRPr="00EE783D" w:rsidRDefault="00CC3765" w:rsidP="00EE783D">
            <w:pPr>
              <w:jc w:val="center"/>
              <w:rPr>
                <w:bCs/>
                <w:color w:val="000000" w:themeColor="text1"/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0.2591</w:t>
            </w:r>
          </w:p>
        </w:tc>
        <w:tc>
          <w:tcPr>
            <w:tcW w:w="540" w:type="pct"/>
          </w:tcPr>
          <w:p w:rsidR="00CC3765" w:rsidRPr="00EE783D" w:rsidRDefault="00CC3765" w:rsidP="00EE783D">
            <w:pPr>
              <w:jc w:val="center"/>
              <w:rPr>
                <w:bCs/>
                <w:color w:val="000000" w:themeColor="text1"/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不适用</w:t>
            </w:r>
          </w:p>
        </w:tc>
      </w:tr>
      <w:tr w:rsidR="00EE783D" w:rsidRPr="00877BCB" w:rsidTr="00811B4F">
        <w:trPr>
          <w:trHeight w:val="20"/>
          <w:jc w:val="center"/>
        </w:trPr>
        <w:tc>
          <w:tcPr>
            <w:tcW w:w="488" w:type="pct"/>
            <w:vMerge w:val="restar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n=2</w:t>
            </w:r>
            <w:r w:rsidR="008225B5" w:rsidRPr="00EE783D">
              <w:rPr>
                <w:rFonts w:ascii="Times New Roman" w:hAnsi="Times New Roman"/>
                <w:sz w:val="21"/>
                <w:szCs w:val="21"/>
              </w:rPr>
              <w:t>0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959" w:type="pct"/>
            <w:vMerge w:val="restar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459" w:type="pct"/>
            <w:gridSpan w:val="3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44" w:type="pct"/>
            <w:vMerge w:val="restar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710" w:type="pct"/>
            <w:vMerge w:val="restart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bCs/>
                <w:color w:val="000000" w:themeColor="text1"/>
                <w:sz w:val="21"/>
                <w:szCs w:val="21"/>
              </w:rPr>
              <w:t>参比制剂个体内标准差</w:t>
            </w:r>
            <w:r w:rsidRPr="00EE783D">
              <w:rPr>
                <w:rFonts w:ascii="Times New Roman" w:hAnsi="Times New Roman"/>
                <w:bCs/>
                <w:color w:val="000000" w:themeColor="text1"/>
                <w:sz w:val="21"/>
                <w:szCs w:val="21"/>
              </w:rPr>
              <w:t>S</w:t>
            </w:r>
            <w:r w:rsidRPr="00EE783D">
              <w:rPr>
                <w:rFonts w:ascii="Times New Roman" w:hAnsi="Times New Roman"/>
                <w:bCs/>
                <w:color w:val="000000" w:themeColor="text1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40" w:type="pct"/>
            <w:vMerge w:val="restart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单侧</w:t>
            </w:r>
            <w:r w:rsidRPr="00EE783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95%</w:t>
            </w:r>
            <w:r w:rsidRPr="00EE783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置信区间上限</w:t>
            </w:r>
          </w:p>
        </w:tc>
      </w:tr>
      <w:tr w:rsidR="00EE783D" w:rsidRPr="00877BCB" w:rsidTr="00811B4F">
        <w:trPr>
          <w:trHeight w:val="20"/>
          <w:jc w:val="center"/>
        </w:trPr>
        <w:tc>
          <w:tcPr>
            <w:tcW w:w="488" w:type="pct"/>
            <w:vMerge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59" w:type="pct"/>
            <w:vMerge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86" w:type="pct"/>
            <w:tcBorders>
              <w:bottom w:val="single" w:sz="4" w:space="0" w:color="auto"/>
            </w:tcBorders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844" w:type="pct"/>
            <w:vMerge/>
            <w:tcBorders>
              <w:bottom w:val="single" w:sz="4" w:space="0" w:color="auto"/>
            </w:tcBorders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10" w:type="pct"/>
            <w:vMerge/>
            <w:tcBorders>
              <w:bottom w:val="single" w:sz="4" w:space="0" w:color="auto"/>
            </w:tcBorders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540" w:type="pct"/>
            <w:vMerge/>
            <w:tcBorders>
              <w:bottom w:val="single" w:sz="4" w:space="0" w:color="auto"/>
            </w:tcBorders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</w:tr>
      <w:tr w:rsidR="00EE783D" w:rsidRPr="00877BCB" w:rsidTr="00811B4F">
        <w:trPr>
          <w:trHeight w:val="20"/>
          <w:jc w:val="center"/>
        </w:trPr>
        <w:tc>
          <w:tcPr>
            <w:tcW w:w="488" w:type="pct"/>
            <w:vMerge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59" w:type="pc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C</w:t>
            </w:r>
            <w:r w:rsidRPr="00EE783D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CC376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1606.10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CC376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1585.21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101.32</w:t>
            </w: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92.75%~110.68%</w:t>
            </w: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0.2736</w:t>
            </w:r>
          </w:p>
        </w:tc>
        <w:tc>
          <w:tcPr>
            <w:tcW w:w="54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不适用</w:t>
            </w:r>
          </w:p>
        </w:tc>
      </w:tr>
      <w:tr w:rsidR="00EE783D" w:rsidRPr="00877BCB" w:rsidTr="00811B4F">
        <w:trPr>
          <w:trHeight w:val="20"/>
          <w:jc w:val="center"/>
        </w:trPr>
        <w:tc>
          <w:tcPr>
            <w:tcW w:w="488" w:type="pct"/>
            <w:vMerge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59" w:type="pc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AUC</w:t>
            </w:r>
            <w:r w:rsidRPr="00EE783D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CC376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13362.04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CC376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12032.59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111.05</w:t>
            </w: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103.12%~119.58%</w:t>
            </w: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0.2046</w:t>
            </w:r>
          </w:p>
        </w:tc>
        <w:tc>
          <w:tcPr>
            <w:tcW w:w="54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不适用</w:t>
            </w:r>
          </w:p>
        </w:tc>
      </w:tr>
      <w:tr w:rsidR="00EE783D" w:rsidRPr="00877BCB" w:rsidTr="00811B4F">
        <w:trPr>
          <w:trHeight w:val="20"/>
          <w:jc w:val="center"/>
        </w:trPr>
        <w:tc>
          <w:tcPr>
            <w:tcW w:w="488" w:type="pct"/>
            <w:vMerge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59" w:type="pct"/>
            <w:vAlign w:val="center"/>
          </w:tcPr>
          <w:p w:rsidR="00CC3765" w:rsidRPr="00EE783D" w:rsidRDefault="00CC3765" w:rsidP="00EE78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783D">
              <w:rPr>
                <w:rFonts w:ascii="Times New Roman" w:hAnsi="Times New Roman"/>
                <w:sz w:val="21"/>
                <w:szCs w:val="21"/>
              </w:rPr>
              <w:t>AUC</w:t>
            </w:r>
            <w:r w:rsidRPr="00EE783D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EE783D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CC376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13651.73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CC376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12333.28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110.69</w:t>
            </w: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102.99%~118.96%</w:t>
            </w: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0.1996</w:t>
            </w:r>
          </w:p>
        </w:tc>
        <w:tc>
          <w:tcPr>
            <w:tcW w:w="54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C3765" w:rsidRPr="00EE783D" w:rsidRDefault="008225B5" w:rsidP="00EE783D">
            <w:pPr>
              <w:spacing w:line="300" w:lineRule="exact"/>
              <w:jc w:val="center"/>
              <w:rPr>
                <w:sz w:val="21"/>
                <w:szCs w:val="21"/>
                <w:highlight w:val="yellow"/>
              </w:rPr>
            </w:pPr>
            <w:r w:rsidRPr="00EE783D">
              <w:rPr>
                <w:bCs/>
                <w:color w:val="000000" w:themeColor="text1"/>
                <w:sz w:val="21"/>
                <w:szCs w:val="21"/>
              </w:rPr>
              <w:t>不适用</w:t>
            </w:r>
          </w:p>
        </w:tc>
      </w:tr>
    </w:tbl>
    <w:p w:rsidR="00B11091" w:rsidRPr="001250DF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1250DF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811B4F" w:rsidRDefault="00D64B0C" w:rsidP="009958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811B4F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1250DF" w:rsidRPr="00811B4F">
        <w:rPr>
          <w:rFonts w:ascii="Times New Roman" w:eastAsia="宋体" w:hAnsi="Times New Roman" w:cs="Times New Roman"/>
          <w:color w:val="000000"/>
          <w:sz w:val="24"/>
          <w:szCs w:val="24"/>
        </w:rPr>
        <w:t>永信药品工业（昆山）股份有限公司</w:t>
      </w:r>
      <w:r w:rsidR="009958B1" w:rsidRPr="00811B4F">
        <w:rPr>
          <w:rFonts w:ascii="Times New Roman" w:eastAsia="宋体" w:hAnsi="Times New Roman" w:cs="Times New Roman"/>
          <w:sz w:val="24"/>
          <w:szCs w:val="24"/>
        </w:rPr>
        <w:t>生产的</w:t>
      </w:r>
      <w:r w:rsidR="001250DF" w:rsidRPr="00811B4F">
        <w:rPr>
          <w:rFonts w:ascii="Times New Roman" w:eastAsia="宋体" w:hAnsi="Times New Roman" w:cs="Times New Roman"/>
          <w:sz w:val="24"/>
          <w:szCs w:val="24"/>
        </w:rPr>
        <w:t>缬沙坦胶囊</w:t>
      </w:r>
      <w:r w:rsidR="009958B1" w:rsidRPr="00811B4F">
        <w:rPr>
          <w:rFonts w:ascii="Times New Roman" w:eastAsia="宋体" w:hAnsi="Times New Roman" w:cs="Times New Roman"/>
          <w:sz w:val="24"/>
          <w:szCs w:val="24"/>
        </w:rPr>
        <w:t>（</w:t>
      </w:r>
      <w:r w:rsidR="005B5CEE" w:rsidRPr="00811B4F">
        <w:rPr>
          <w:rFonts w:ascii="Times New Roman" w:eastAsia="宋体" w:hAnsi="Times New Roman" w:cs="Times New Roman"/>
          <w:sz w:val="24"/>
          <w:szCs w:val="24"/>
        </w:rPr>
        <w:t>规格：</w:t>
      </w:r>
      <w:r w:rsidR="001250DF" w:rsidRPr="00811B4F">
        <w:rPr>
          <w:rFonts w:ascii="Times New Roman" w:eastAsia="宋体" w:hAnsi="Times New Roman" w:cs="Times New Roman"/>
          <w:sz w:val="24"/>
          <w:szCs w:val="24"/>
        </w:rPr>
        <w:t>80</w:t>
      </w:r>
      <w:r w:rsidR="00643278" w:rsidRPr="00811B4F">
        <w:rPr>
          <w:rFonts w:ascii="Times New Roman" w:eastAsia="宋体" w:hAnsi="Times New Roman" w:cs="Times New Roman"/>
          <w:sz w:val="24"/>
          <w:szCs w:val="24"/>
        </w:rPr>
        <w:t>mg</w:t>
      </w:r>
      <w:r w:rsidR="009958B1" w:rsidRPr="00811B4F">
        <w:rPr>
          <w:rFonts w:ascii="Times New Roman" w:eastAsia="宋体" w:hAnsi="Times New Roman" w:cs="Times New Roman"/>
          <w:sz w:val="24"/>
          <w:szCs w:val="24"/>
        </w:rPr>
        <w:t>）</w:t>
      </w:r>
      <w:r w:rsidR="00E02597" w:rsidRPr="00811B4F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811B4F">
        <w:rPr>
          <w:rFonts w:ascii="Times New Roman" w:eastAsia="宋体" w:hAnsi="Times New Roman" w:cs="Times New Roman"/>
          <w:sz w:val="24"/>
          <w:szCs w:val="24"/>
        </w:rPr>
        <w:t>仿制药质量与疗效一致性评价。</w:t>
      </w:r>
    </w:p>
    <w:sectPr w:rsidR="00825632" w:rsidRPr="00811B4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25C" w:rsidRDefault="00FE125C" w:rsidP="00D45C81">
      <w:r>
        <w:separator/>
      </w:r>
    </w:p>
  </w:endnote>
  <w:endnote w:type="continuationSeparator" w:id="0">
    <w:p w:rsidR="00FE125C" w:rsidRDefault="00FE125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B1C5F" w:rsidRPr="008B1C5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25C" w:rsidRDefault="00FE125C" w:rsidP="00D45C81">
      <w:r>
        <w:separator/>
      </w:r>
    </w:p>
  </w:footnote>
  <w:footnote w:type="continuationSeparator" w:id="0">
    <w:p w:rsidR="00FE125C" w:rsidRDefault="00FE125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E7AFA"/>
    <w:rsid w:val="000F7095"/>
    <w:rsid w:val="00100620"/>
    <w:rsid w:val="001116EF"/>
    <w:rsid w:val="001136E7"/>
    <w:rsid w:val="00117F5E"/>
    <w:rsid w:val="001250DF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05E7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1B4F"/>
    <w:rsid w:val="008134A0"/>
    <w:rsid w:val="008142C5"/>
    <w:rsid w:val="00816614"/>
    <w:rsid w:val="008225B5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7BCB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1C5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18BE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3765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783D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E12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9908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EA27E-74CF-41F7-AEB8-B75D5CEE0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李健</cp:lastModifiedBy>
  <cp:revision>21</cp:revision>
  <dcterms:created xsi:type="dcterms:W3CDTF">2020-01-07T06:08:00Z</dcterms:created>
  <dcterms:modified xsi:type="dcterms:W3CDTF">2022-04-15T01:27:00Z</dcterms:modified>
</cp:coreProperties>
</file>