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利塞膦酸钠片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/>
                <w:sz w:val="24"/>
                <w:szCs w:val="24"/>
              </w:rPr>
              <w:t>Risedronate Sodium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D5257B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5mg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7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H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10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NNaO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7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="004E68E5"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驻马店市驿城区光明路</w:t>
            </w: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4E68E5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H20051021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4E68E5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E68E5">
              <w:rPr>
                <w:rFonts w:ascii="Times New Roman" w:hAnsi="Times New Roman" w:cs="Times New Roman"/>
                <w:sz w:val="24"/>
                <w:szCs w:val="24"/>
              </w:rPr>
              <w:t>20040904X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4E68E5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天方药业有限公司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C64C6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E68E5">
              <w:rPr>
                <w:rFonts w:ascii="Times New Roman" w:hAnsi="Times New Roman" w:cs="Times New Roman"/>
                <w:sz w:val="24"/>
                <w:szCs w:val="24"/>
              </w:rPr>
              <w:t>B202000111-01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南宁市第一人民医院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浙江太美医疗科技股份有限公司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C64C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复星艾迪（苏州）医药科技有限公司</w:t>
            </w:r>
          </w:p>
        </w:tc>
      </w:tr>
      <w:tr w:rsidR="00C64C69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4E68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单中心、随机、开放、单次给药、两制剂、三周期、三序列、部分重复、参比制剂校正的</w:t>
            </w:r>
            <w:r w:rsidR="00C64C69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C64C69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空腹试验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C64C69" w:rsidRPr="001038EE" w:rsidRDefault="004E68E5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68E5">
              <w:rPr>
                <w:rFonts w:ascii="Times New Roman" w:hAnsi="Times New Roman" w:cs="Times New Roman" w:hint="eastAsia"/>
                <w:sz w:val="24"/>
                <w:szCs w:val="24"/>
              </w:rPr>
              <w:t>利塞膦酸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C64C69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C64C69" w:rsidRPr="001038EE" w:rsidRDefault="00C64C69" w:rsidP="00C64C69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C64C69" w:rsidRPr="001038EE" w:rsidRDefault="00C64C69" w:rsidP="00C64C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4E68E5" w:rsidRPr="004E68E5">
        <w:rPr>
          <w:rFonts w:ascii="Times New Roman" w:eastAsia="宋体" w:hAnsi="Times New Roman" w:cs="Times New Roman" w:hint="eastAsia"/>
          <w:sz w:val="24"/>
          <w:szCs w:val="24"/>
        </w:rPr>
        <w:t>利塞膦酸钠片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4E68E5" w:rsidRPr="004E68E5">
        <w:rPr>
          <w:rFonts w:ascii="Times New Roman" w:eastAsia="宋体" w:hAnsi="Times New Roman" w:cs="Times New Roman"/>
          <w:sz w:val="24"/>
          <w:szCs w:val="24"/>
        </w:rPr>
        <w:t>5mg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4E68E5" w:rsidRPr="004E68E5">
        <w:rPr>
          <w:rFonts w:ascii="Times New Roman" w:eastAsia="宋体" w:hAnsi="Times New Roman" w:cs="Times New Roman" w:hint="eastAsia"/>
          <w:sz w:val="24"/>
          <w:szCs w:val="24"/>
        </w:rPr>
        <w:t>利塞膦酸钠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697"/>
        <w:gridCol w:w="1356"/>
        <w:gridCol w:w="798"/>
        <w:gridCol w:w="798"/>
        <w:gridCol w:w="1140"/>
        <w:gridCol w:w="1246"/>
        <w:gridCol w:w="1244"/>
        <w:gridCol w:w="1243"/>
      </w:tblGrid>
      <w:tr w:rsidR="00D30797" w:rsidRPr="001038EE" w:rsidTr="003630AA">
        <w:trPr>
          <w:trHeight w:val="425"/>
          <w:jc w:val="center"/>
        </w:trPr>
        <w:tc>
          <w:tcPr>
            <w:tcW w:w="409" w:type="pct"/>
            <w:vMerge w:val="restart"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59</w:t>
            </w:r>
          </w:p>
        </w:tc>
        <w:tc>
          <w:tcPr>
            <w:tcW w:w="796" w:type="pct"/>
            <w:vMerge w:val="restart"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605" w:type="pct"/>
            <w:gridSpan w:val="3"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731" w:type="pct"/>
            <w:vMerge w:val="restart"/>
            <w:vAlign w:val="center"/>
          </w:tcPr>
          <w:p w:rsidR="00D30797" w:rsidRPr="00B21EA9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B21EA9">
              <w:rPr>
                <w:color w:val="000000" w:themeColor="text1"/>
                <w:sz w:val="21"/>
                <w:szCs w:val="21"/>
              </w:rPr>
              <w:t>参比制剂个体内变异系数（</w:t>
            </w:r>
            <w:r w:rsidRPr="00B21EA9">
              <w:rPr>
                <w:color w:val="000000" w:themeColor="text1"/>
                <w:sz w:val="21"/>
                <w:szCs w:val="21"/>
              </w:rPr>
              <w:t>%</w:t>
            </w:r>
            <w:r w:rsidRPr="00B21EA9">
              <w:rPr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730" w:type="pct"/>
            <w:vMerge w:val="restart"/>
            <w:vAlign w:val="center"/>
          </w:tcPr>
          <w:p w:rsidR="00D30797" w:rsidRPr="00B21EA9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B21EA9">
              <w:rPr>
                <w:color w:val="000000" w:themeColor="text1"/>
                <w:sz w:val="21"/>
                <w:szCs w:val="21"/>
              </w:rPr>
              <w:t>参比制剂个体内标准差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S</w:t>
            </w:r>
            <w:r w:rsidRPr="00734A13">
              <w:rPr>
                <w:rFonts w:hint="eastAsia"/>
                <w:color w:val="000000" w:themeColor="text1"/>
                <w:sz w:val="21"/>
                <w:szCs w:val="21"/>
                <w:vertAlign w:val="subscript"/>
              </w:rPr>
              <w:t>WR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</w:p>
        </w:tc>
        <w:tc>
          <w:tcPr>
            <w:tcW w:w="729" w:type="pct"/>
            <w:vMerge w:val="restart"/>
            <w:vAlign w:val="center"/>
          </w:tcPr>
          <w:p w:rsidR="00D30797" w:rsidRPr="00B21EA9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000000" w:themeColor="text1"/>
                <w:sz w:val="21"/>
                <w:szCs w:val="21"/>
              </w:rPr>
            </w:pPr>
            <w:r w:rsidRPr="00B21EA9">
              <w:rPr>
                <w:color w:val="000000" w:themeColor="text1"/>
                <w:sz w:val="21"/>
                <w:szCs w:val="21"/>
              </w:rPr>
              <w:t>95%</w:t>
            </w:r>
            <w:r w:rsidRPr="00B21EA9">
              <w:rPr>
                <w:color w:val="000000" w:themeColor="text1"/>
                <w:sz w:val="21"/>
                <w:szCs w:val="21"/>
              </w:rPr>
              <w:t>置信区间上限</w:t>
            </w:r>
          </w:p>
        </w:tc>
      </w:tr>
      <w:tr w:rsidR="00D30797" w:rsidRPr="001038EE" w:rsidTr="003630AA">
        <w:trPr>
          <w:trHeight w:val="425"/>
          <w:jc w:val="center"/>
        </w:trPr>
        <w:tc>
          <w:tcPr>
            <w:tcW w:w="409" w:type="pct"/>
            <w:vMerge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6" w:type="pct"/>
            <w:vMerge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468" w:type="pct"/>
            <w:tcBorders>
              <w:bottom w:val="single" w:sz="4" w:space="0" w:color="auto"/>
            </w:tcBorders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468" w:type="pct"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69" w:type="pct"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731" w:type="pct"/>
            <w:vMerge/>
            <w:vAlign w:val="center"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30" w:type="pct"/>
            <w:vMerge/>
            <w:tcBorders>
              <w:bottom w:val="single" w:sz="4" w:space="0" w:color="auto"/>
            </w:tcBorders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  <w:tc>
          <w:tcPr>
            <w:tcW w:w="729" w:type="pct"/>
            <w:vMerge/>
            <w:tcBorders>
              <w:bottom w:val="single" w:sz="4" w:space="0" w:color="auto"/>
            </w:tcBorders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</w:p>
        </w:tc>
      </w:tr>
      <w:tr w:rsidR="00D30797" w:rsidRPr="001038EE" w:rsidTr="00D06916">
        <w:trPr>
          <w:trHeight w:val="425"/>
          <w:jc w:val="center"/>
        </w:trPr>
        <w:tc>
          <w:tcPr>
            <w:tcW w:w="409" w:type="pct"/>
            <w:vMerge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6" w:type="pct"/>
            <w:vAlign w:val="center"/>
          </w:tcPr>
          <w:p w:rsidR="00D30797" w:rsidRPr="00D7147B" w:rsidRDefault="00D30797" w:rsidP="00D3079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7.6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8.1</w:t>
            </w:r>
          </w:p>
        </w:tc>
        <w:tc>
          <w:tcPr>
            <w:tcW w:w="669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0.93</w:t>
            </w:r>
          </w:p>
        </w:tc>
        <w:tc>
          <w:tcPr>
            <w:tcW w:w="731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42.44</w:t>
            </w:r>
          </w:p>
        </w:tc>
        <w:tc>
          <w:tcPr>
            <w:tcW w:w="730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0.41</w:t>
            </w:r>
          </w:p>
        </w:tc>
        <w:tc>
          <w:tcPr>
            <w:tcW w:w="729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-0.08</w:t>
            </w:r>
          </w:p>
        </w:tc>
      </w:tr>
      <w:tr w:rsidR="00D30797" w:rsidRPr="001038EE" w:rsidTr="00D06916">
        <w:trPr>
          <w:trHeight w:val="425"/>
          <w:jc w:val="center"/>
        </w:trPr>
        <w:tc>
          <w:tcPr>
            <w:tcW w:w="409" w:type="pct"/>
            <w:vMerge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6" w:type="pct"/>
            <w:vAlign w:val="center"/>
          </w:tcPr>
          <w:p w:rsidR="00D30797" w:rsidRPr="00D7147B" w:rsidRDefault="00D30797" w:rsidP="00D3079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8.0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8.6</w:t>
            </w:r>
          </w:p>
        </w:tc>
        <w:tc>
          <w:tcPr>
            <w:tcW w:w="669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0.93</w:t>
            </w:r>
          </w:p>
        </w:tc>
        <w:tc>
          <w:tcPr>
            <w:tcW w:w="731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42.73</w:t>
            </w:r>
          </w:p>
        </w:tc>
        <w:tc>
          <w:tcPr>
            <w:tcW w:w="730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0.41</w:t>
            </w:r>
          </w:p>
        </w:tc>
        <w:tc>
          <w:tcPr>
            <w:tcW w:w="729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-0.08</w:t>
            </w:r>
          </w:p>
        </w:tc>
      </w:tr>
      <w:tr w:rsidR="00D30797" w:rsidRPr="001038EE" w:rsidTr="003F2B4F">
        <w:trPr>
          <w:trHeight w:val="425"/>
          <w:jc w:val="center"/>
        </w:trPr>
        <w:tc>
          <w:tcPr>
            <w:tcW w:w="409" w:type="pct"/>
            <w:vMerge/>
          </w:tcPr>
          <w:p w:rsidR="00D30797" w:rsidRPr="001038EE" w:rsidRDefault="00D30797" w:rsidP="00D3079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96" w:type="pct"/>
            <w:vAlign w:val="center"/>
          </w:tcPr>
          <w:p w:rsidR="00D30797" w:rsidRPr="00D7147B" w:rsidRDefault="00D30797" w:rsidP="00D3079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D30797">
              <w:rPr>
                <w:sz w:val="21"/>
                <w:szCs w:val="21"/>
              </w:rPr>
              <w:t>2.3</w:t>
            </w:r>
          </w:p>
        </w:tc>
        <w:tc>
          <w:tcPr>
            <w:tcW w:w="468" w:type="pct"/>
            <w:vAlign w:val="center"/>
          </w:tcPr>
          <w:p w:rsidR="00D30797" w:rsidRPr="00D30797" w:rsidRDefault="00D30797" w:rsidP="00D30797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D30797">
              <w:rPr>
                <w:sz w:val="21"/>
                <w:szCs w:val="21"/>
              </w:rPr>
              <w:t>2.5</w:t>
            </w:r>
          </w:p>
        </w:tc>
        <w:tc>
          <w:tcPr>
            <w:tcW w:w="669" w:type="pct"/>
            <w:vAlign w:val="center"/>
          </w:tcPr>
          <w:p w:rsidR="00D30797" w:rsidRPr="00D30797" w:rsidRDefault="00D30797" w:rsidP="00D30797">
            <w:pPr>
              <w:adjustRightInd w:val="0"/>
              <w:spacing w:before="10" w:after="10"/>
              <w:jc w:val="center"/>
              <w:rPr>
                <w:sz w:val="21"/>
                <w:szCs w:val="21"/>
              </w:rPr>
            </w:pPr>
            <w:r w:rsidRPr="00D30797">
              <w:rPr>
                <w:sz w:val="21"/>
                <w:szCs w:val="21"/>
              </w:rPr>
              <w:t>0.92</w:t>
            </w:r>
          </w:p>
        </w:tc>
        <w:tc>
          <w:tcPr>
            <w:tcW w:w="731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48.63</w:t>
            </w:r>
          </w:p>
        </w:tc>
        <w:tc>
          <w:tcPr>
            <w:tcW w:w="730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0.46</w:t>
            </w:r>
          </w:p>
        </w:tc>
        <w:tc>
          <w:tcPr>
            <w:tcW w:w="729" w:type="pct"/>
            <w:vAlign w:val="center"/>
          </w:tcPr>
          <w:p w:rsidR="00D30797" w:rsidRPr="00D30797" w:rsidRDefault="00D30797" w:rsidP="00D30797">
            <w:pPr>
              <w:pStyle w:val="ae"/>
              <w:spacing w:line="240" w:lineRule="auto"/>
              <w:ind w:firstLine="0"/>
              <w:jc w:val="center"/>
              <w:rPr>
                <w:color w:val="auto"/>
                <w:sz w:val="21"/>
                <w:szCs w:val="21"/>
              </w:rPr>
            </w:pPr>
            <w:r w:rsidRPr="00D30797">
              <w:rPr>
                <w:color w:val="auto"/>
                <w:sz w:val="21"/>
                <w:szCs w:val="21"/>
              </w:rPr>
              <w:t>-0.11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D30797" w:rsidRPr="00D30797">
        <w:rPr>
          <w:rFonts w:ascii="Times New Roman" w:eastAsia="宋体" w:hAnsi="Times New Roman" w:cs="Times New Roman" w:hint="eastAsia"/>
          <w:sz w:val="24"/>
          <w:szCs w:val="24"/>
        </w:rPr>
        <w:t>天方药业有限公司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30797" w:rsidRPr="00D30797">
        <w:rPr>
          <w:rFonts w:ascii="Times New Roman" w:eastAsia="宋体" w:hAnsi="Times New Roman" w:cs="Times New Roman" w:hint="eastAsia"/>
          <w:sz w:val="24"/>
          <w:szCs w:val="24"/>
        </w:rPr>
        <w:t>利塞膦酸钠片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30797">
        <w:rPr>
          <w:rFonts w:ascii="Times New Roman" w:eastAsia="宋体" w:hAnsi="Times New Roman" w:cs="Times New Roman"/>
          <w:sz w:val="24"/>
          <w:szCs w:val="24"/>
        </w:rPr>
        <w:t>5m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7CE" w:rsidRDefault="005307CE" w:rsidP="00D45C81">
      <w:r>
        <w:separator/>
      </w:r>
    </w:p>
  </w:endnote>
  <w:endnote w:type="continuationSeparator" w:id="0">
    <w:p w:rsidR="005307CE" w:rsidRDefault="005307C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Segoe U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0797" w:rsidRPr="00D3079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7CE" w:rsidRDefault="005307CE" w:rsidP="00D45C81">
      <w:r>
        <w:separator/>
      </w:r>
    </w:p>
  </w:footnote>
  <w:footnote w:type="continuationSeparator" w:id="0">
    <w:p w:rsidR="005307CE" w:rsidRDefault="005307C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DA4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68E5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07CE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11BB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64C69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797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1FF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05E4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B8E61-1E88-4DF1-9CD3-08F83E79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197</cp:revision>
  <dcterms:created xsi:type="dcterms:W3CDTF">2018-01-27T11:13:00Z</dcterms:created>
  <dcterms:modified xsi:type="dcterms:W3CDTF">2022-01-29T09:10:00Z</dcterms:modified>
</cp:coreProperties>
</file>