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7E3CD1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7E3CD1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7E3CD1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7E3CD1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7E3CD1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7E3CD1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7E3CD1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7E3CD1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7E3CD1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7E3CD1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B4413B" w:rsidRDefault="00B4413B" w:rsidP="00B441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 w:hint="eastAsia"/>
                <w:sz w:val="24"/>
                <w:szCs w:val="24"/>
              </w:rPr>
              <w:t>马来酸依那普利片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B4413B" w:rsidRDefault="00B4413B" w:rsidP="00B441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413B">
              <w:rPr>
                <w:rFonts w:ascii="Times New Roman" w:hAnsi="Times New Roman"/>
                <w:sz w:val="24"/>
                <w:szCs w:val="24"/>
              </w:rPr>
              <w:t>Enalapril</w:t>
            </w:r>
            <w:proofErr w:type="spellEnd"/>
            <w:r w:rsidRPr="00B4413B">
              <w:rPr>
                <w:rFonts w:ascii="Times New Roman" w:hAnsi="Times New Roman"/>
                <w:sz w:val="24"/>
                <w:szCs w:val="24"/>
              </w:rPr>
              <w:t xml:space="preserve"> Maleate Tablets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7E3CD1" w:rsidRDefault="00F808FB" w:rsidP="00B441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片剂，</w:t>
            </w:r>
            <w:r w:rsidR="00B4413B" w:rsidRPr="00B4413B">
              <w:rPr>
                <w:rFonts w:ascii="Times New Roman" w:hAnsi="Times New Roman"/>
                <w:sz w:val="24"/>
                <w:szCs w:val="24"/>
              </w:rPr>
              <w:t>10</w:t>
            </w:r>
            <w:r w:rsidR="00902EB5" w:rsidRPr="00902EB5">
              <w:rPr>
                <w:rFonts w:ascii="Times New Roman" w:hAnsi="Times New Roman"/>
                <w:sz w:val="24"/>
                <w:szCs w:val="24"/>
              </w:rPr>
              <w:t>mg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B4413B" w:rsidRDefault="00B4413B" w:rsidP="00B441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 w:hint="eastAsia"/>
                <w:sz w:val="24"/>
                <w:szCs w:val="24"/>
              </w:rPr>
              <w:t>广东彼迪药业有限公司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7E3CD1" w:rsidRDefault="00B4413B" w:rsidP="00B441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 w:hint="eastAsia"/>
                <w:sz w:val="24"/>
                <w:szCs w:val="24"/>
              </w:rPr>
              <w:t>广东省开平市月山镇彼</w:t>
            </w:r>
            <w:proofErr w:type="gramStart"/>
            <w:r w:rsidRPr="00B4413B">
              <w:rPr>
                <w:rFonts w:ascii="Times New Roman" w:hAnsi="Times New Roman" w:hint="eastAsia"/>
                <w:sz w:val="24"/>
                <w:szCs w:val="24"/>
              </w:rPr>
              <w:t>迪</w:t>
            </w:r>
            <w:proofErr w:type="gramEnd"/>
            <w:r w:rsidRPr="00B4413B">
              <w:rPr>
                <w:rFonts w:ascii="Times New Roman" w:hAnsi="Times New Roman" w:hint="eastAsia"/>
                <w:sz w:val="24"/>
                <w:szCs w:val="24"/>
              </w:rPr>
              <w:t>大道</w:t>
            </w:r>
            <w:r w:rsidRPr="00B4413B">
              <w:rPr>
                <w:rFonts w:ascii="Times New Roman" w:hAnsi="Times New Roman"/>
                <w:sz w:val="24"/>
                <w:szCs w:val="24"/>
              </w:rPr>
              <w:t>66</w:t>
            </w:r>
            <w:r w:rsidRPr="00B4413B"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B4413B" w:rsidRDefault="00B4413B" w:rsidP="00B4413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 w:hint="eastAsia"/>
                <w:sz w:val="24"/>
                <w:szCs w:val="24"/>
              </w:rPr>
              <w:t>广东彼迪药业有限公司</w:t>
            </w:r>
          </w:p>
        </w:tc>
      </w:tr>
      <w:tr w:rsidR="00B11091" w:rsidRPr="007E3CD1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E3CD1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7E3CD1" w:rsidRDefault="00B4413B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B4413B">
              <w:rPr>
                <w:rFonts w:ascii="Times New Roman" w:hAnsi="Times New Roman" w:hint="eastAsia"/>
                <w:sz w:val="24"/>
                <w:szCs w:val="24"/>
              </w:rPr>
              <w:t>H44024933</w:t>
            </w:r>
          </w:p>
        </w:tc>
      </w:tr>
      <w:tr w:rsidR="00B11091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E3CD1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7E3CD1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E3CD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7E3CD1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7E3CD1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7E3CD1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3CD1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7E3CD1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7E3CD1" w:rsidRDefault="00B4413B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/>
                <w:sz w:val="24"/>
                <w:szCs w:val="24"/>
              </w:rPr>
              <w:t>Y20191001</w:t>
            </w:r>
          </w:p>
        </w:tc>
      </w:tr>
      <w:tr w:rsidR="00B11C80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3CD1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7E3CD1" w:rsidRDefault="00B4413B" w:rsidP="001A3BEA">
            <w:pPr>
              <w:rPr>
                <w:rFonts w:ascii="Times New Roman" w:hAnsi="Times New Roman"/>
                <w:sz w:val="24"/>
                <w:szCs w:val="24"/>
              </w:rPr>
            </w:pPr>
            <w:r w:rsidRPr="00B4413B">
              <w:rPr>
                <w:rFonts w:ascii="Times New Roman" w:hAnsi="Times New Roman" w:hint="eastAsia"/>
                <w:sz w:val="24"/>
                <w:szCs w:val="24"/>
              </w:rPr>
              <w:t>广东彼迪药业有限公司</w:t>
            </w:r>
          </w:p>
        </w:tc>
      </w:tr>
      <w:tr w:rsidR="00B11C80" w:rsidRPr="007E3CD1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E3CD1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7E3CD1" w:rsidRDefault="001A3BEA" w:rsidP="001A3BEA">
            <w:pPr>
              <w:rPr>
                <w:rFonts w:ascii="Times New Roman" w:hAnsi="Times New Roman"/>
                <w:sz w:val="24"/>
                <w:szCs w:val="24"/>
              </w:rPr>
            </w:pPr>
            <w:r w:rsidRPr="001A3BEA">
              <w:rPr>
                <w:rFonts w:ascii="Times New Roman" w:hAnsi="Times New Roman" w:hint="eastAsia"/>
                <w:sz w:val="24"/>
                <w:szCs w:val="24"/>
              </w:rPr>
              <w:t>符合要求</w:t>
            </w:r>
          </w:p>
        </w:tc>
      </w:tr>
      <w:tr w:rsidR="00B11091" w:rsidRPr="007E3CD1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7E3CD1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7E3CD1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E3CD1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7E3CD1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7E3CD1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7E3CD1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7E3CD1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7E3CD1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7E3CD1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E3CD1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7E3CD1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D3439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439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D34394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D34394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34394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D34394" w:rsidRDefault="00B4413B" w:rsidP="00813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13B">
              <w:rPr>
                <w:rFonts w:ascii="Times New Roman" w:hAnsi="Times New Roman" w:cs="Times New Roman"/>
                <w:sz w:val="24"/>
                <w:szCs w:val="24"/>
              </w:rPr>
              <w:t>B201900346-01</w:t>
            </w:r>
          </w:p>
        </w:tc>
      </w:tr>
      <w:tr w:rsidR="00B11091" w:rsidRPr="007E3CD1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0F5074" w:rsidRDefault="00B4413B" w:rsidP="00F10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D4">
              <w:rPr>
                <w:rFonts w:ascii="Times New Roman" w:hAnsi="Times New Roman"/>
                <w:color w:val="3333FF"/>
                <w:kern w:val="0"/>
                <w:sz w:val="24"/>
                <w:szCs w:val="24"/>
              </w:rPr>
              <w:t>福建医科大学孟超肝胆医院</w:t>
            </w:r>
          </w:p>
        </w:tc>
      </w:tr>
      <w:tr w:rsidR="00B11091" w:rsidRPr="007E3CD1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0F5074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0F5074" w:rsidRDefault="00B4413B" w:rsidP="00DE2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D4">
              <w:rPr>
                <w:rFonts w:ascii="Times New Roman" w:hAnsi="Times New Roman" w:hint="eastAsia"/>
                <w:color w:val="3333FF"/>
                <w:kern w:val="0"/>
                <w:sz w:val="24"/>
                <w:szCs w:val="24"/>
              </w:rPr>
              <w:t>上海</w:t>
            </w:r>
            <w:r w:rsidRPr="008277D4">
              <w:rPr>
                <w:rFonts w:ascii="Times New Roman" w:hAnsi="Times New Roman"/>
                <w:color w:val="3333FF"/>
                <w:kern w:val="0"/>
                <w:sz w:val="24"/>
                <w:szCs w:val="24"/>
              </w:rPr>
              <w:t>博佳医药科技有限公司</w:t>
            </w:r>
          </w:p>
        </w:tc>
      </w:tr>
      <w:tr w:rsidR="00B11091" w:rsidRPr="007E3CD1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0F5074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0F5074" w:rsidRDefault="00B4413B" w:rsidP="00F10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77D4">
              <w:rPr>
                <w:rFonts w:ascii="Times New Roman" w:hAnsi="Times New Roman"/>
                <w:color w:val="3333FF"/>
                <w:kern w:val="0"/>
                <w:sz w:val="24"/>
                <w:szCs w:val="24"/>
              </w:rPr>
              <w:t>上海熙华检测</w:t>
            </w:r>
            <w:proofErr w:type="gramEnd"/>
            <w:r w:rsidRPr="008277D4">
              <w:rPr>
                <w:rFonts w:ascii="Times New Roman" w:hAnsi="Times New Roman"/>
                <w:color w:val="3333FF"/>
                <w:kern w:val="0"/>
                <w:sz w:val="24"/>
                <w:szCs w:val="24"/>
              </w:rPr>
              <w:t>技术服务有限公司</w:t>
            </w:r>
          </w:p>
        </w:tc>
      </w:tr>
      <w:tr w:rsidR="00635EF5" w:rsidRPr="007E3CD1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1D61D4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61D4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1D61D4" w:rsidRPr="001D61D4" w:rsidRDefault="001D61D4" w:rsidP="00902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1D4">
              <w:rPr>
                <w:rFonts w:ascii="Times New Roman" w:hAnsi="Times New Roman" w:cs="Times New Roman"/>
                <w:sz w:val="24"/>
                <w:szCs w:val="24"/>
              </w:rPr>
              <w:t>采用</w:t>
            </w:r>
            <w:r w:rsidR="00B4413B" w:rsidRPr="008277D4">
              <w:rPr>
                <w:rFonts w:ascii="Times New Roman" w:hAnsi="Times New Roman" w:hint="eastAsia"/>
                <w:color w:val="3333FF"/>
                <w:kern w:val="0"/>
                <w:sz w:val="24"/>
                <w:szCs w:val="24"/>
              </w:rPr>
              <w:t>随机、</w:t>
            </w:r>
            <w:bookmarkStart w:id="0" w:name="_GoBack"/>
            <w:bookmarkEnd w:id="0"/>
            <w:r w:rsidR="00B4413B" w:rsidRPr="008277D4">
              <w:rPr>
                <w:rFonts w:ascii="Times New Roman" w:hAnsi="Times New Roman" w:hint="eastAsia"/>
                <w:color w:val="3333FF"/>
                <w:kern w:val="0"/>
                <w:sz w:val="24"/>
                <w:szCs w:val="24"/>
              </w:rPr>
              <w:t>开放、两序列、两周期、双交叉</w:t>
            </w:r>
            <w:r w:rsidRPr="001D61D4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  <w:r w:rsidRPr="001D61D4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1D61D4">
              <w:rPr>
                <w:rFonts w:ascii="Times New Roman" w:hAnsi="Times New Roman" w:cs="Times New Roman"/>
                <w:sz w:val="24"/>
                <w:szCs w:val="24"/>
              </w:rPr>
              <w:t>进行健康受试者的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空腹</w:t>
            </w:r>
            <w:r w:rsidR="0072106A">
              <w:rPr>
                <w:rFonts w:ascii="Times New Roman" w:hAnsi="Times New Roman" w:cs="Times New Roman" w:hint="eastAsia"/>
                <w:sz w:val="24"/>
                <w:szCs w:val="24"/>
              </w:rPr>
              <w:t>和餐后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生物等效性研究</w:t>
            </w:r>
          </w:p>
        </w:tc>
      </w:tr>
      <w:tr w:rsidR="008134A0" w:rsidRPr="007E3CD1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0F507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1A3BEA" w:rsidRDefault="00B4413B" w:rsidP="00902EB5">
            <w:pPr>
              <w:rPr>
                <w:rFonts w:ascii="Times New Roman" w:hAnsi="Times New Roman"/>
                <w:sz w:val="24"/>
                <w:szCs w:val="24"/>
              </w:rPr>
            </w:pPr>
            <w:r w:rsidRPr="00511BE5">
              <w:rPr>
                <w:rFonts w:ascii="Times New Roman" w:hAnsi="Times New Roman" w:hint="eastAsia"/>
                <w:kern w:val="0"/>
                <w:sz w:val="24"/>
                <w:szCs w:val="24"/>
              </w:rPr>
              <w:t>依那普利和依那普利拉</w:t>
            </w:r>
          </w:p>
        </w:tc>
      </w:tr>
      <w:tr w:rsidR="0066279A" w:rsidRPr="007E3CD1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0F5074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A3BEA" w:rsidRDefault="0066279A" w:rsidP="001A3BEA">
            <w:pPr>
              <w:rPr>
                <w:rFonts w:ascii="Times New Roman" w:hAnsi="Times New Roman"/>
                <w:sz w:val="24"/>
                <w:szCs w:val="24"/>
              </w:rPr>
            </w:pPr>
            <w:r w:rsidRPr="001A3BEA">
              <w:rPr>
                <w:rFonts w:ascii="Times New Roman" w:hAnsi="Times New Roman" w:hint="eastAsia"/>
                <w:sz w:val="24"/>
                <w:szCs w:val="24"/>
              </w:rPr>
              <w:t>LC-MS/MS</w:t>
            </w:r>
            <w:r w:rsidR="00057A00" w:rsidRPr="001A3BEA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7E3CD1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0F5074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0F5074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0F5074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0F5074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0F5074" w:rsidRDefault="00DE2F8D" w:rsidP="00CA471F">
            <w:pPr>
              <w:rPr>
                <w:rFonts w:ascii="Times New Roman" w:hAnsi="Times New Roman"/>
                <w:sz w:val="24"/>
                <w:szCs w:val="24"/>
              </w:rPr>
            </w:pPr>
            <w:r w:rsidRPr="000F5074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0F5074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0F5074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0F5074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0F5074">
        <w:rPr>
          <w:rFonts w:ascii="Times New Roman" w:hAnsi="Times New Roman" w:hint="eastAsia"/>
          <w:b/>
          <w:sz w:val="24"/>
          <w:szCs w:val="24"/>
        </w:rPr>
        <w:t>结果</w:t>
      </w:r>
    </w:p>
    <w:p w:rsidR="007B2537" w:rsidRDefault="007B2537" w:rsidP="007B253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B4413B">
        <w:rPr>
          <w:rFonts w:ascii="Times New Roman" w:eastAsia="宋体" w:hAnsi="Times New Roman" w:cs="Times New Roman" w:hint="eastAsia"/>
          <w:sz w:val="24"/>
          <w:szCs w:val="24"/>
        </w:rPr>
        <w:t>空腹</w:t>
      </w:r>
      <w:r w:rsidR="00B4413B" w:rsidRPr="00B4413B">
        <w:rPr>
          <w:rFonts w:ascii="Times New Roman" w:eastAsia="宋体" w:hAnsi="Times New Roman" w:cs="Times New Roman" w:hint="eastAsia"/>
          <w:sz w:val="24"/>
          <w:szCs w:val="24"/>
        </w:rPr>
        <w:t>马来酸依那普利片</w:t>
      </w:r>
      <w:r w:rsidRPr="009055FA">
        <w:rPr>
          <w:rFonts w:ascii="Times New Roman" w:eastAsia="宋体" w:hAnsi="Times New Roman" w:cs="Times New Roman"/>
          <w:sz w:val="24"/>
          <w:szCs w:val="24"/>
        </w:rPr>
        <w:t>（</w:t>
      </w:r>
      <w:r w:rsidR="00B4413B">
        <w:rPr>
          <w:rFonts w:ascii="Times New Roman" w:hAnsi="Times New Roman"/>
          <w:sz w:val="24"/>
          <w:szCs w:val="24"/>
        </w:rPr>
        <w:t>10</w:t>
      </w:r>
      <w:r w:rsidR="00902EB5" w:rsidRPr="00902EB5">
        <w:rPr>
          <w:rFonts w:ascii="Times New Roman" w:hAnsi="Times New Roman"/>
          <w:sz w:val="24"/>
          <w:szCs w:val="24"/>
        </w:rPr>
        <w:t>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B4413B" w:rsidRPr="00B4413B">
        <w:rPr>
          <w:rFonts w:ascii="Times New Roman" w:eastAsia="宋体" w:hAnsi="Times New Roman" w:cs="Times New Roman" w:hint="eastAsia"/>
          <w:sz w:val="24"/>
          <w:szCs w:val="24"/>
        </w:rPr>
        <w:t>依那普利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B4413B" w:rsidRPr="007E3CD1" w:rsidTr="006E2F2A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4413B" w:rsidRPr="007E3CD1" w:rsidTr="006E2F2A">
        <w:trPr>
          <w:trHeight w:val="426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4413B" w:rsidRPr="007E3CD1" w:rsidTr="006E2F2A">
        <w:trPr>
          <w:trHeight w:val="457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132.45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129.40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102.35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97.56</w:t>
            </w:r>
            <w:r w:rsidRPr="00F31987">
              <w:rPr>
                <w:color w:val="000000" w:themeColor="text1"/>
                <w:szCs w:val="21"/>
              </w:rPr>
              <w:t>～</w:t>
            </w:r>
            <w:r w:rsidRPr="00F31987">
              <w:rPr>
                <w:color w:val="000000" w:themeColor="text1"/>
                <w:szCs w:val="21"/>
              </w:rPr>
              <w:t>107.38</w:t>
            </w:r>
          </w:p>
        </w:tc>
      </w:tr>
      <w:tr w:rsidR="00B4413B" w:rsidRPr="007E3CD1" w:rsidTr="006E2F2A">
        <w:trPr>
          <w:trHeight w:val="488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133.49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130.32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102.43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97.70</w:t>
            </w:r>
            <w:r w:rsidRPr="00F31987">
              <w:rPr>
                <w:color w:val="000000" w:themeColor="text1"/>
                <w:szCs w:val="21"/>
              </w:rPr>
              <w:t>～</w:t>
            </w:r>
            <w:r w:rsidRPr="00F31987">
              <w:rPr>
                <w:color w:val="000000" w:themeColor="text1"/>
                <w:szCs w:val="21"/>
              </w:rPr>
              <w:t>107.39</w:t>
            </w:r>
          </w:p>
        </w:tc>
      </w:tr>
      <w:tr w:rsidR="00B4413B" w:rsidRPr="007E3CD1" w:rsidTr="006E2F2A">
        <w:trPr>
          <w:trHeight w:val="519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B4413B" w:rsidRPr="000F5074" w:rsidRDefault="00B4413B" w:rsidP="006E2F2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70.09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66.73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6E2F2A">
            <w:pPr>
              <w:tabs>
                <w:tab w:val="left" w:pos="645"/>
              </w:tabs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105.04</w:t>
            </w:r>
          </w:p>
        </w:tc>
        <w:tc>
          <w:tcPr>
            <w:tcW w:w="1136" w:type="pct"/>
            <w:vAlign w:val="center"/>
          </w:tcPr>
          <w:p w:rsidR="00B4413B" w:rsidRPr="00902EB5" w:rsidRDefault="00B4413B" w:rsidP="006E2F2A">
            <w:pPr>
              <w:jc w:val="center"/>
              <w:rPr>
                <w:szCs w:val="21"/>
              </w:rPr>
            </w:pPr>
            <w:r w:rsidRPr="00B4413B">
              <w:rPr>
                <w:rFonts w:hint="eastAsia"/>
                <w:szCs w:val="21"/>
              </w:rPr>
              <w:t>97.63</w:t>
            </w:r>
            <w:r w:rsidRPr="00B4413B">
              <w:rPr>
                <w:rFonts w:hint="eastAsia"/>
                <w:szCs w:val="21"/>
              </w:rPr>
              <w:t>～</w:t>
            </w:r>
            <w:r w:rsidRPr="00B4413B">
              <w:rPr>
                <w:rFonts w:hint="eastAsia"/>
                <w:szCs w:val="21"/>
              </w:rPr>
              <w:t>113.02</w:t>
            </w:r>
          </w:p>
        </w:tc>
      </w:tr>
    </w:tbl>
    <w:p w:rsidR="00B4413B" w:rsidRDefault="00B4413B" w:rsidP="00B441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空腹</w:t>
      </w:r>
      <w:r w:rsidRPr="00B4413B">
        <w:rPr>
          <w:rFonts w:ascii="Times New Roman" w:eastAsia="宋体" w:hAnsi="Times New Roman" w:cs="Times New Roman" w:hint="eastAsia"/>
          <w:sz w:val="24"/>
          <w:szCs w:val="24"/>
        </w:rPr>
        <w:t>马来酸依那普利片</w:t>
      </w:r>
      <w:r w:rsidRPr="009055FA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10</w:t>
      </w:r>
      <w:r w:rsidRPr="00902EB5">
        <w:rPr>
          <w:rFonts w:ascii="Times New Roman" w:hAnsi="Times New Roman"/>
          <w:sz w:val="24"/>
          <w:szCs w:val="24"/>
        </w:rPr>
        <w:t>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Pr="00B4413B">
        <w:rPr>
          <w:rFonts w:ascii="Times New Roman" w:eastAsia="宋体" w:hAnsi="Times New Roman" w:cs="Times New Roman" w:hint="eastAsia"/>
          <w:sz w:val="24"/>
          <w:szCs w:val="24"/>
        </w:rPr>
        <w:t>依那普利拉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B4413B" w:rsidRPr="007E3CD1" w:rsidTr="00F17140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4413B" w:rsidRPr="007E3CD1" w:rsidTr="00F17140">
        <w:trPr>
          <w:trHeight w:val="426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4413B" w:rsidRPr="007E3CD1" w:rsidTr="00F17140">
        <w:trPr>
          <w:trHeight w:val="457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B441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B4413B" w:rsidRPr="000F5074" w:rsidRDefault="00B4413B" w:rsidP="00B441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422.69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409.61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103.19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98.22</w:t>
            </w:r>
            <w:r w:rsidRPr="00F31987">
              <w:rPr>
                <w:color w:val="000000" w:themeColor="text1"/>
                <w:szCs w:val="21"/>
              </w:rPr>
              <w:t>～</w:t>
            </w:r>
            <w:r w:rsidRPr="00F31987">
              <w:rPr>
                <w:color w:val="000000" w:themeColor="text1"/>
                <w:szCs w:val="21"/>
              </w:rPr>
              <w:t>108.42</w:t>
            </w:r>
          </w:p>
        </w:tc>
      </w:tr>
      <w:tr w:rsidR="00B4413B" w:rsidRPr="007E3CD1" w:rsidTr="00F17140">
        <w:trPr>
          <w:trHeight w:val="488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B441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B4413B" w:rsidRPr="000F5074" w:rsidRDefault="00B4413B" w:rsidP="00B441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434.32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421.92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102.94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98.18</w:t>
            </w:r>
            <w:r w:rsidRPr="00F31987">
              <w:rPr>
                <w:color w:val="000000" w:themeColor="text1"/>
                <w:szCs w:val="21"/>
              </w:rPr>
              <w:t>～</w:t>
            </w:r>
            <w:r w:rsidRPr="00F31987">
              <w:rPr>
                <w:color w:val="000000" w:themeColor="text1"/>
                <w:szCs w:val="21"/>
              </w:rPr>
              <w:t>107.93</w:t>
            </w:r>
          </w:p>
        </w:tc>
      </w:tr>
      <w:tr w:rsidR="00B4413B" w:rsidRPr="007E3CD1" w:rsidTr="00F17140">
        <w:trPr>
          <w:trHeight w:val="519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B441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B4413B" w:rsidRPr="000F5074" w:rsidRDefault="00B4413B" w:rsidP="00B441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44.63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42.95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3B" w:rsidRPr="00F31987" w:rsidRDefault="00B4413B" w:rsidP="00B4413B">
            <w:pPr>
              <w:tabs>
                <w:tab w:val="left" w:pos="645"/>
              </w:tabs>
              <w:adjustRightInd w:val="0"/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F31987">
              <w:rPr>
                <w:color w:val="000000" w:themeColor="text1"/>
                <w:szCs w:val="21"/>
              </w:rPr>
              <w:t>103.92</w:t>
            </w:r>
          </w:p>
        </w:tc>
        <w:tc>
          <w:tcPr>
            <w:tcW w:w="1136" w:type="pct"/>
            <w:vAlign w:val="center"/>
          </w:tcPr>
          <w:p w:rsidR="00B4413B" w:rsidRPr="00902EB5" w:rsidRDefault="00B4413B" w:rsidP="00B4413B">
            <w:pPr>
              <w:jc w:val="center"/>
              <w:rPr>
                <w:szCs w:val="21"/>
              </w:rPr>
            </w:pPr>
            <w:r w:rsidRPr="00B4413B">
              <w:rPr>
                <w:rFonts w:hint="eastAsia"/>
                <w:szCs w:val="21"/>
              </w:rPr>
              <w:t>97.24</w:t>
            </w:r>
            <w:r w:rsidRPr="00B4413B">
              <w:rPr>
                <w:rFonts w:hint="eastAsia"/>
                <w:szCs w:val="21"/>
              </w:rPr>
              <w:t>～</w:t>
            </w:r>
            <w:r w:rsidRPr="00B4413B">
              <w:rPr>
                <w:rFonts w:hint="eastAsia"/>
                <w:szCs w:val="21"/>
              </w:rPr>
              <w:t>111.05</w:t>
            </w:r>
          </w:p>
        </w:tc>
      </w:tr>
    </w:tbl>
    <w:p w:rsidR="00B4413B" w:rsidRDefault="00B4413B" w:rsidP="00B4413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餐后</w:t>
      </w:r>
      <w:r w:rsidRPr="00B4413B">
        <w:rPr>
          <w:rFonts w:ascii="Times New Roman" w:eastAsia="宋体" w:hAnsi="Times New Roman" w:cs="Times New Roman" w:hint="eastAsia"/>
          <w:sz w:val="24"/>
          <w:szCs w:val="24"/>
        </w:rPr>
        <w:t>马来酸依那普利片</w:t>
      </w:r>
      <w:r w:rsidRPr="009055FA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10</w:t>
      </w:r>
      <w:r w:rsidRPr="00902EB5">
        <w:rPr>
          <w:rFonts w:ascii="Times New Roman" w:hAnsi="Times New Roman"/>
          <w:sz w:val="24"/>
          <w:szCs w:val="24"/>
        </w:rPr>
        <w:t>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Pr="00B4413B">
        <w:rPr>
          <w:rFonts w:ascii="Times New Roman" w:eastAsia="宋体" w:hAnsi="Times New Roman" w:cs="Times New Roman" w:hint="eastAsia"/>
          <w:sz w:val="24"/>
          <w:szCs w:val="24"/>
        </w:rPr>
        <w:t>依那普利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B4413B" w:rsidRPr="007E3CD1" w:rsidTr="00F17140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B4413B" w:rsidRPr="000F5074" w:rsidRDefault="00E65255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  <w:r w:rsidR="00B4413B" w:rsidRPr="000F50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4413B" w:rsidRPr="007E3CD1" w:rsidTr="00F17140">
        <w:trPr>
          <w:trHeight w:val="426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65255" w:rsidRPr="007E3CD1" w:rsidTr="00F17140">
        <w:trPr>
          <w:trHeight w:val="457"/>
          <w:jc w:val="center"/>
        </w:trPr>
        <w:tc>
          <w:tcPr>
            <w:tcW w:w="663" w:type="pct"/>
            <w:vMerge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129.41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130.02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99.53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96.43</w:t>
            </w:r>
            <w:r w:rsidRPr="00F31987">
              <w:rPr>
                <w:color w:val="000000" w:themeColor="text1"/>
              </w:rPr>
              <w:t>～</w:t>
            </w:r>
            <w:r w:rsidRPr="00F31987">
              <w:rPr>
                <w:color w:val="000000" w:themeColor="text1"/>
              </w:rPr>
              <w:t>102.73</w:t>
            </w:r>
          </w:p>
        </w:tc>
      </w:tr>
      <w:tr w:rsidR="00E65255" w:rsidRPr="007E3CD1" w:rsidTr="00F17140">
        <w:trPr>
          <w:trHeight w:val="488"/>
          <w:jc w:val="center"/>
        </w:trPr>
        <w:tc>
          <w:tcPr>
            <w:tcW w:w="663" w:type="pct"/>
            <w:vMerge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130.39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131.09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99.46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96.39</w:t>
            </w:r>
            <w:r w:rsidRPr="00F31987">
              <w:rPr>
                <w:color w:val="000000" w:themeColor="text1"/>
              </w:rPr>
              <w:t>～</w:t>
            </w:r>
            <w:r w:rsidRPr="00F31987">
              <w:rPr>
                <w:color w:val="000000" w:themeColor="text1"/>
              </w:rPr>
              <w:t>102.62</w:t>
            </w:r>
          </w:p>
        </w:tc>
      </w:tr>
      <w:tr w:rsidR="00E65255" w:rsidRPr="007E3CD1" w:rsidTr="00F17140">
        <w:trPr>
          <w:trHeight w:val="519"/>
          <w:jc w:val="center"/>
        </w:trPr>
        <w:tc>
          <w:tcPr>
            <w:tcW w:w="663" w:type="pct"/>
            <w:vMerge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61.74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64.00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96.47</w:t>
            </w:r>
          </w:p>
        </w:tc>
        <w:tc>
          <w:tcPr>
            <w:tcW w:w="1136" w:type="pct"/>
            <w:vAlign w:val="center"/>
          </w:tcPr>
          <w:p w:rsidR="00E65255" w:rsidRPr="00902EB5" w:rsidRDefault="00E65255" w:rsidP="00E65255">
            <w:pPr>
              <w:jc w:val="center"/>
              <w:rPr>
                <w:szCs w:val="21"/>
              </w:rPr>
            </w:pPr>
            <w:r w:rsidRPr="00E65255">
              <w:rPr>
                <w:rFonts w:hint="eastAsia"/>
                <w:szCs w:val="21"/>
              </w:rPr>
              <w:t>89.56</w:t>
            </w:r>
            <w:r w:rsidRPr="00E65255">
              <w:rPr>
                <w:rFonts w:hint="eastAsia"/>
                <w:szCs w:val="21"/>
              </w:rPr>
              <w:t>～</w:t>
            </w:r>
            <w:r w:rsidRPr="00E65255">
              <w:rPr>
                <w:rFonts w:hint="eastAsia"/>
                <w:szCs w:val="21"/>
              </w:rPr>
              <w:t>103.91</w:t>
            </w:r>
          </w:p>
        </w:tc>
      </w:tr>
    </w:tbl>
    <w:p w:rsidR="00B4413B" w:rsidRDefault="00B4413B" w:rsidP="00B441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65255">
        <w:rPr>
          <w:rFonts w:ascii="Times New Roman" w:eastAsia="宋体" w:hAnsi="Times New Roman" w:cs="Times New Roman" w:hint="eastAsia"/>
          <w:sz w:val="24"/>
          <w:szCs w:val="24"/>
        </w:rPr>
        <w:t>餐后</w:t>
      </w:r>
      <w:r w:rsidRPr="00B4413B">
        <w:rPr>
          <w:rFonts w:ascii="Times New Roman" w:eastAsia="宋体" w:hAnsi="Times New Roman" w:cs="Times New Roman" w:hint="eastAsia"/>
          <w:sz w:val="24"/>
          <w:szCs w:val="24"/>
        </w:rPr>
        <w:t>马来酸依那普利片</w:t>
      </w:r>
      <w:r w:rsidRPr="009055FA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10</w:t>
      </w:r>
      <w:r w:rsidRPr="00902EB5">
        <w:rPr>
          <w:rFonts w:ascii="Times New Roman" w:hAnsi="Times New Roman"/>
          <w:sz w:val="24"/>
          <w:szCs w:val="24"/>
        </w:rPr>
        <w:t>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Pr="00B4413B">
        <w:rPr>
          <w:rFonts w:ascii="Times New Roman" w:eastAsia="宋体" w:hAnsi="Times New Roman" w:cs="Times New Roman" w:hint="eastAsia"/>
          <w:sz w:val="24"/>
          <w:szCs w:val="24"/>
        </w:rPr>
        <w:t>依那普利拉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B4413B" w:rsidRPr="007E3CD1" w:rsidTr="00F17140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B4413B" w:rsidRPr="000F5074" w:rsidRDefault="00E65255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  <w:r w:rsidR="00B4413B" w:rsidRPr="000F507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0F507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4413B" w:rsidRPr="007E3CD1" w:rsidTr="00F17140">
        <w:trPr>
          <w:trHeight w:val="426"/>
          <w:jc w:val="center"/>
        </w:trPr>
        <w:tc>
          <w:tcPr>
            <w:tcW w:w="663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B4413B" w:rsidRPr="000F5074" w:rsidRDefault="00B4413B" w:rsidP="00F1714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65255" w:rsidRPr="007E3CD1" w:rsidTr="00F17140">
        <w:trPr>
          <w:trHeight w:val="457"/>
          <w:jc w:val="center"/>
        </w:trPr>
        <w:tc>
          <w:tcPr>
            <w:tcW w:w="663" w:type="pct"/>
            <w:vMerge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362.15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357.13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101.40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97.73</w:t>
            </w:r>
            <w:r w:rsidRPr="00F31987">
              <w:rPr>
                <w:color w:val="000000" w:themeColor="text1"/>
              </w:rPr>
              <w:t>～</w:t>
            </w:r>
            <w:r w:rsidRPr="00F31987">
              <w:rPr>
                <w:color w:val="000000" w:themeColor="text1"/>
              </w:rPr>
              <w:t>105.22</w:t>
            </w:r>
          </w:p>
        </w:tc>
      </w:tr>
      <w:tr w:rsidR="00E65255" w:rsidRPr="007E3CD1" w:rsidTr="00F17140">
        <w:trPr>
          <w:trHeight w:val="488"/>
          <w:jc w:val="center"/>
        </w:trPr>
        <w:tc>
          <w:tcPr>
            <w:tcW w:w="663" w:type="pct"/>
            <w:vMerge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376.69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371.67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101.35</w:t>
            </w:r>
          </w:p>
        </w:tc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97.85</w:t>
            </w:r>
            <w:r w:rsidRPr="00F31987">
              <w:rPr>
                <w:color w:val="000000" w:themeColor="text1"/>
              </w:rPr>
              <w:t>～</w:t>
            </w:r>
            <w:r w:rsidRPr="00F31987">
              <w:rPr>
                <w:color w:val="000000" w:themeColor="text1"/>
              </w:rPr>
              <w:t>104.98</w:t>
            </w:r>
          </w:p>
        </w:tc>
      </w:tr>
      <w:tr w:rsidR="00E65255" w:rsidRPr="007E3CD1" w:rsidTr="00F17140">
        <w:trPr>
          <w:trHeight w:val="519"/>
          <w:jc w:val="center"/>
        </w:trPr>
        <w:tc>
          <w:tcPr>
            <w:tcW w:w="663" w:type="pct"/>
            <w:vMerge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65255" w:rsidRPr="000F5074" w:rsidRDefault="00E65255" w:rsidP="00E6525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F507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34.31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32.87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255" w:rsidRPr="00F31987" w:rsidRDefault="00E65255" w:rsidP="00E65255">
            <w:pPr>
              <w:pStyle w:val="ae"/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F31987">
              <w:rPr>
                <w:color w:val="000000" w:themeColor="text1"/>
              </w:rPr>
              <w:t>104.37</w:t>
            </w:r>
          </w:p>
        </w:tc>
        <w:tc>
          <w:tcPr>
            <w:tcW w:w="1136" w:type="pct"/>
            <w:vAlign w:val="center"/>
          </w:tcPr>
          <w:p w:rsidR="00E65255" w:rsidRPr="00902EB5" w:rsidRDefault="00E65255" w:rsidP="00E65255">
            <w:pPr>
              <w:jc w:val="center"/>
              <w:rPr>
                <w:szCs w:val="21"/>
              </w:rPr>
            </w:pPr>
            <w:r w:rsidRPr="00E65255">
              <w:rPr>
                <w:rFonts w:hint="eastAsia"/>
                <w:szCs w:val="21"/>
              </w:rPr>
              <w:t>99.50</w:t>
            </w:r>
            <w:r w:rsidRPr="00E65255">
              <w:rPr>
                <w:rFonts w:hint="eastAsia"/>
                <w:szCs w:val="21"/>
              </w:rPr>
              <w:t>～</w:t>
            </w:r>
            <w:r w:rsidRPr="00E65255">
              <w:rPr>
                <w:rFonts w:hint="eastAsia"/>
                <w:szCs w:val="21"/>
              </w:rPr>
              <w:t>109.46</w:t>
            </w:r>
          </w:p>
        </w:tc>
      </w:tr>
    </w:tbl>
    <w:p w:rsidR="00B4413B" w:rsidRPr="00B4413B" w:rsidRDefault="00B4413B" w:rsidP="007B253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B4413B" w:rsidRPr="007B2537" w:rsidRDefault="00B4413B" w:rsidP="007B253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B11091" w:rsidRPr="001C2B6B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C2B6B">
        <w:rPr>
          <w:rFonts w:ascii="Times New Roman" w:hAnsi="Times New Roman" w:hint="eastAsia"/>
          <w:b/>
          <w:sz w:val="24"/>
          <w:szCs w:val="24"/>
        </w:rPr>
        <w:lastRenderedPageBreak/>
        <w:t>3.</w:t>
      </w:r>
      <w:r w:rsidRPr="001C2B6B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CA471F" w:rsidRDefault="001A3BEA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建议</w:t>
      </w:r>
      <w:r w:rsidR="00E65255" w:rsidRPr="00E65255">
        <w:rPr>
          <w:rFonts w:ascii="Times New Roman" w:hAnsi="Times New Roman" w:cs="Times New Roman" w:hint="eastAsia"/>
          <w:sz w:val="24"/>
          <w:szCs w:val="24"/>
        </w:rPr>
        <w:t>广东彼迪药业有限公司</w:t>
      </w:r>
      <w:r w:rsidR="007F1374" w:rsidRPr="001C2B6B">
        <w:rPr>
          <w:rFonts w:ascii="Times New Roman" w:hAnsi="Times New Roman" w:hint="eastAsia"/>
          <w:sz w:val="24"/>
          <w:szCs w:val="24"/>
        </w:rPr>
        <w:t>生产的</w:t>
      </w:r>
      <w:r w:rsidR="00E65255" w:rsidRPr="00E65255">
        <w:rPr>
          <w:rFonts w:ascii="Times New Roman" w:hAnsi="Times New Roman" w:hint="eastAsia"/>
          <w:sz w:val="24"/>
          <w:szCs w:val="24"/>
        </w:rPr>
        <w:t>马来酸依那普利片（规格：</w:t>
      </w:r>
      <w:r w:rsidR="00E65255" w:rsidRPr="00E65255">
        <w:rPr>
          <w:rFonts w:ascii="Times New Roman" w:hAnsi="Times New Roman" w:hint="eastAsia"/>
          <w:sz w:val="24"/>
          <w:szCs w:val="24"/>
        </w:rPr>
        <w:t>10mg</w:t>
      </w:r>
      <w:r w:rsidR="00E65255" w:rsidRPr="00E65255">
        <w:rPr>
          <w:rFonts w:ascii="Times New Roman" w:hAnsi="Times New Roman" w:hint="eastAsia"/>
          <w:sz w:val="24"/>
          <w:szCs w:val="24"/>
        </w:rPr>
        <w:t>）</w:t>
      </w:r>
      <w:r w:rsidR="00E02597" w:rsidRPr="001C2B6B">
        <w:rPr>
          <w:rFonts w:ascii="Times New Roman" w:hAnsi="Times New Roman" w:hint="eastAsia"/>
          <w:sz w:val="24"/>
          <w:szCs w:val="24"/>
        </w:rPr>
        <w:t>通过</w:t>
      </w:r>
      <w:r w:rsidR="00825632" w:rsidRPr="001C2B6B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6B371B" w:rsidRPr="00496359" w:rsidRDefault="006B371B" w:rsidP="00E02597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p w:rsidR="007A6237" w:rsidRPr="00496359" w:rsidRDefault="007A6237" w:rsidP="003078F4">
      <w:pPr>
        <w:widowControl/>
        <w:spacing w:line="360" w:lineRule="auto"/>
        <w:rPr>
          <w:rFonts w:ascii="Times New Roman" w:hAnsi="Times New Roman"/>
          <w:sz w:val="24"/>
          <w:szCs w:val="24"/>
        </w:rPr>
      </w:pPr>
    </w:p>
    <w:sectPr w:rsidR="007A6237" w:rsidRPr="004963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A0E" w:rsidRDefault="00A02A0E" w:rsidP="00D45C81">
      <w:r>
        <w:separator/>
      </w:r>
    </w:p>
  </w:endnote>
  <w:endnote w:type="continuationSeparator" w:id="0">
    <w:p w:rsidR="00A02A0E" w:rsidRDefault="00A02A0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1AB7" w:rsidRPr="00081AB7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081AB7">
          <w:rPr>
            <w:rFonts w:ascii="仿宋_GB2312" w:eastAsia="仿宋_GB2312"/>
            <w:sz w:val="24"/>
            <w:szCs w:val="24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A0E" w:rsidRDefault="00A02A0E" w:rsidP="00D45C81">
      <w:r>
        <w:separator/>
      </w:r>
    </w:p>
  </w:footnote>
  <w:footnote w:type="continuationSeparator" w:id="0">
    <w:p w:rsidR="00A02A0E" w:rsidRDefault="00A02A0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1AB7"/>
    <w:rsid w:val="000826CB"/>
    <w:rsid w:val="00086BAF"/>
    <w:rsid w:val="00087468"/>
    <w:rsid w:val="00093E39"/>
    <w:rsid w:val="000A05F8"/>
    <w:rsid w:val="000A64C5"/>
    <w:rsid w:val="000A6D15"/>
    <w:rsid w:val="000B5669"/>
    <w:rsid w:val="000B7EF9"/>
    <w:rsid w:val="000C2394"/>
    <w:rsid w:val="000C2492"/>
    <w:rsid w:val="000C344B"/>
    <w:rsid w:val="000D1A23"/>
    <w:rsid w:val="000D2E0E"/>
    <w:rsid w:val="000E4063"/>
    <w:rsid w:val="000F5074"/>
    <w:rsid w:val="000F7095"/>
    <w:rsid w:val="00100620"/>
    <w:rsid w:val="001136E7"/>
    <w:rsid w:val="00117F5E"/>
    <w:rsid w:val="00130DB7"/>
    <w:rsid w:val="00142C4E"/>
    <w:rsid w:val="001460F9"/>
    <w:rsid w:val="0015186D"/>
    <w:rsid w:val="00162F3F"/>
    <w:rsid w:val="001634D2"/>
    <w:rsid w:val="00182493"/>
    <w:rsid w:val="00182DC1"/>
    <w:rsid w:val="00183B78"/>
    <w:rsid w:val="0018736C"/>
    <w:rsid w:val="00187CB5"/>
    <w:rsid w:val="00190E5A"/>
    <w:rsid w:val="001A3BEA"/>
    <w:rsid w:val="001A4598"/>
    <w:rsid w:val="001C2B6B"/>
    <w:rsid w:val="001C57D6"/>
    <w:rsid w:val="001D05F1"/>
    <w:rsid w:val="001D1DDC"/>
    <w:rsid w:val="001D2CBD"/>
    <w:rsid w:val="001D5BC6"/>
    <w:rsid w:val="001D61D4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680C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166BD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6D3C"/>
    <w:rsid w:val="004979B8"/>
    <w:rsid w:val="004A15E9"/>
    <w:rsid w:val="004A236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5BA6"/>
    <w:rsid w:val="00535775"/>
    <w:rsid w:val="00536CD8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6C2F"/>
    <w:rsid w:val="00707F2C"/>
    <w:rsid w:val="00711544"/>
    <w:rsid w:val="007173F6"/>
    <w:rsid w:val="0072106A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537"/>
    <w:rsid w:val="007B2AF2"/>
    <w:rsid w:val="007B37A6"/>
    <w:rsid w:val="007C3047"/>
    <w:rsid w:val="007E3CD1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34D6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2EB5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4DDF"/>
    <w:rsid w:val="009E1794"/>
    <w:rsid w:val="009E2BA3"/>
    <w:rsid w:val="009E633F"/>
    <w:rsid w:val="009F4A68"/>
    <w:rsid w:val="009F5040"/>
    <w:rsid w:val="009F5E83"/>
    <w:rsid w:val="00A02A0E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36E34"/>
    <w:rsid w:val="00B425B5"/>
    <w:rsid w:val="00B4413B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13E3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3415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4394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755E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D690B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52524"/>
    <w:rsid w:val="00E6285C"/>
    <w:rsid w:val="00E65255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00FE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2A95"/>
    <w:rsid w:val="00FD4E5C"/>
    <w:rsid w:val="00FD6F7B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F6D06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E61AC-22AB-4C02-80F2-2CAB614D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37</cp:revision>
  <dcterms:created xsi:type="dcterms:W3CDTF">2019-05-28T05:55:00Z</dcterms:created>
  <dcterms:modified xsi:type="dcterms:W3CDTF">2022-02-09T03:28:00Z</dcterms:modified>
</cp:coreProperties>
</file>