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C9149C" w:rsidRDefault="006B371B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C9149C">
        <w:rPr>
          <w:rFonts w:ascii="Times New Roman" w:eastAsia="微软雅黑" w:hAnsi="Times New Roman" w:cs="微软雅黑" w:hint="eastAsia"/>
          <w:sz w:val="36"/>
          <w:szCs w:val="30"/>
        </w:rPr>
        <w:t>一致性评价</w:t>
      </w:r>
      <w:r w:rsidR="00587924" w:rsidRPr="00C9149C">
        <w:rPr>
          <w:rFonts w:ascii="Times New Roman" w:eastAsia="微软雅黑" w:hAnsi="Times New Roman" w:cs="微软雅黑" w:hint="eastAsia"/>
          <w:sz w:val="36"/>
          <w:szCs w:val="30"/>
        </w:rPr>
        <w:t>企业研究报告及生物等效性试验数据</w:t>
      </w:r>
    </w:p>
    <w:p w:rsidR="006B371B" w:rsidRPr="00C9149C" w:rsidRDefault="00587924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C9149C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8A03A5" w:rsidRPr="00C9149C" w:rsidRDefault="008A03A5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825632" w:rsidRPr="00C9149C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C9149C">
        <w:rPr>
          <w:rFonts w:ascii="Times New Roman" w:hAnsi="Times New Roman" w:hint="eastAsia"/>
          <w:b/>
          <w:sz w:val="24"/>
          <w:szCs w:val="24"/>
        </w:rPr>
        <w:t>基本情况</w:t>
      </w:r>
      <w:r w:rsidR="00587924" w:rsidRPr="00C9149C">
        <w:rPr>
          <w:rFonts w:ascii="Times New Roman" w:hAnsi="Times New Roman" w:hint="eastAsia"/>
          <w:b/>
          <w:sz w:val="24"/>
          <w:szCs w:val="24"/>
        </w:rPr>
        <w:t>汇总</w:t>
      </w:r>
      <w:r w:rsidR="00587924" w:rsidRPr="00C9149C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C9149C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9149C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9149C">
              <w:rPr>
                <w:rFonts w:ascii="Times New Roman" w:hAnsi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C9149C" w:rsidRDefault="00967ED1" w:rsidP="00951E72">
            <w:pPr>
              <w:rPr>
                <w:rFonts w:ascii="Times New Roman" w:hAnsi="Times New Roman"/>
                <w:sz w:val="24"/>
                <w:szCs w:val="24"/>
              </w:rPr>
            </w:pPr>
            <w:r w:rsidRPr="00C9149C">
              <w:rPr>
                <w:rFonts w:ascii="Times New Roman" w:hAnsi="Times New Roman" w:hint="eastAsia"/>
                <w:sz w:val="24"/>
                <w:szCs w:val="24"/>
              </w:rPr>
              <w:t>阿莫西林胶囊</w:t>
            </w:r>
          </w:p>
        </w:tc>
      </w:tr>
      <w:tr w:rsidR="00B11091" w:rsidRPr="00C9149C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9149C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9149C">
              <w:rPr>
                <w:rFonts w:ascii="Times New Roman" w:hAnsi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C9149C" w:rsidRDefault="00967ED1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C9149C">
              <w:rPr>
                <w:rFonts w:ascii="Times New Roman" w:hAnsi="Times New Roman"/>
                <w:sz w:val="24"/>
                <w:szCs w:val="24"/>
              </w:rPr>
              <w:t>Amoxicillin Capsules</w:t>
            </w:r>
          </w:p>
        </w:tc>
      </w:tr>
      <w:tr w:rsidR="00B11091" w:rsidRPr="00C9149C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9149C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9149C">
              <w:rPr>
                <w:rFonts w:ascii="Times New Roman" w:hAnsi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C9149C" w:rsidRDefault="00C9149C" w:rsidP="00E77EA6">
            <w:pPr>
              <w:rPr>
                <w:rFonts w:ascii="Times New Roman" w:hAnsi="Times New Roman"/>
                <w:sz w:val="24"/>
                <w:szCs w:val="24"/>
              </w:rPr>
            </w:pPr>
            <w:r w:rsidRPr="00C9149C">
              <w:rPr>
                <w:rFonts w:ascii="Times New Roman" w:hAnsi="Times New Roman" w:hint="eastAsia"/>
                <w:sz w:val="24"/>
                <w:szCs w:val="24"/>
              </w:rPr>
              <w:t>按</w:t>
            </w:r>
            <w:r w:rsidRPr="00C9149C">
              <w:rPr>
                <w:rFonts w:ascii="Times New Roman" w:hAnsi="Times New Roman"/>
                <w:sz w:val="24"/>
                <w:szCs w:val="24"/>
              </w:rPr>
              <w:t>C</w:t>
            </w:r>
            <w:r w:rsidRPr="00C9149C">
              <w:rPr>
                <w:rFonts w:ascii="Times New Roman" w:hAnsi="Times New Roman"/>
                <w:sz w:val="24"/>
                <w:szCs w:val="24"/>
                <w:vertAlign w:val="subscript"/>
              </w:rPr>
              <w:t>16</w:t>
            </w:r>
            <w:r w:rsidRPr="00C9149C">
              <w:rPr>
                <w:rFonts w:ascii="Times New Roman" w:hAnsi="Times New Roman"/>
                <w:sz w:val="24"/>
                <w:szCs w:val="24"/>
              </w:rPr>
              <w:t>H</w:t>
            </w:r>
            <w:r w:rsidRPr="00C9149C">
              <w:rPr>
                <w:rFonts w:ascii="Times New Roman" w:hAnsi="Times New Roman"/>
                <w:sz w:val="24"/>
                <w:szCs w:val="24"/>
                <w:vertAlign w:val="subscript"/>
              </w:rPr>
              <w:t>19</w:t>
            </w:r>
            <w:r w:rsidRPr="00C9149C">
              <w:rPr>
                <w:rFonts w:ascii="Times New Roman" w:hAnsi="Times New Roman"/>
                <w:sz w:val="24"/>
                <w:szCs w:val="24"/>
              </w:rPr>
              <w:t>N</w:t>
            </w:r>
            <w:r w:rsidRPr="00C9149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C9149C">
              <w:rPr>
                <w:rFonts w:ascii="Times New Roman" w:hAnsi="Times New Roman"/>
                <w:sz w:val="24"/>
                <w:szCs w:val="24"/>
              </w:rPr>
              <w:t>O</w:t>
            </w:r>
            <w:r w:rsidRPr="00C9149C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C9149C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C9149C">
              <w:rPr>
                <w:rFonts w:ascii="Times New Roman" w:hAnsi="Times New Roman" w:hint="eastAsia"/>
                <w:sz w:val="24"/>
                <w:szCs w:val="24"/>
              </w:rPr>
              <w:t>计</w:t>
            </w:r>
            <w:r w:rsidRPr="00C9149C">
              <w:rPr>
                <w:rFonts w:ascii="Times New Roman" w:hAnsi="Times New Roman"/>
                <w:sz w:val="24"/>
                <w:szCs w:val="24"/>
              </w:rPr>
              <w:t>0.25g</w:t>
            </w:r>
          </w:p>
        </w:tc>
      </w:tr>
      <w:tr w:rsidR="00B11091" w:rsidRPr="00C9149C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E77EA6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E77EA6" w:rsidRDefault="00E77EA6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吉林显锋科技制药有限公司</w:t>
            </w:r>
          </w:p>
        </w:tc>
      </w:tr>
      <w:tr w:rsidR="00B11091" w:rsidRPr="00C9149C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E77EA6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E77EA6" w:rsidRDefault="00E77EA6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农安县</w:t>
            </w:r>
            <w:proofErr w:type="gramStart"/>
            <w:r w:rsidRPr="00E77EA6">
              <w:rPr>
                <w:rFonts w:ascii="Times New Roman" w:hAnsi="Times New Roman" w:hint="eastAsia"/>
                <w:sz w:val="24"/>
                <w:szCs w:val="24"/>
              </w:rPr>
              <w:t>显锋街</w:t>
            </w:r>
            <w:proofErr w:type="gramEnd"/>
            <w:r w:rsidRPr="00E77EA6">
              <w:rPr>
                <w:rFonts w:ascii="Times New Roman" w:hAnsi="Times New Roman"/>
                <w:sz w:val="24"/>
                <w:szCs w:val="24"/>
              </w:rPr>
              <w:t>9</w:t>
            </w:r>
            <w:r w:rsidRPr="00E77EA6">
              <w:rPr>
                <w:rFonts w:ascii="Times New Roman" w:hAnsi="Times New Roman" w:hint="eastAsia"/>
                <w:sz w:val="24"/>
                <w:szCs w:val="24"/>
              </w:rPr>
              <w:t>号</w:t>
            </w:r>
          </w:p>
        </w:tc>
      </w:tr>
      <w:tr w:rsidR="00B11091" w:rsidRPr="00C9149C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E77EA6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E77EA6" w:rsidRDefault="00E77EA6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吉林显锋科技制药有限公司</w:t>
            </w:r>
          </w:p>
        </w:tc>
      </w:tr>
      <w:tr w:rsidR="00B11091" w:rsidRPr="00C9149C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E77EA6" w:rsidRDefault="008A03A5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最新</w:t>
            </w:r>
            <w:r w:rsidR="00B11091" w:rsidRPr="00E77EA6">
              <w:rPr>
                <w:rFonts w:ascii="Times New Roman" w:hAnsi="Times New Roman" w:hint="eastAsia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E77EA6" w:rsidRDefault="00E77EA6" w:rsidP="00F26423">
            <w:pPr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国药准字</w:t>
            </w:r>
            <w:r w:rsidRPr="00E77EA6">
              <w:rPr>
                <w:rFonts w:ascii="Times New Roman" w:hAnsi="Times New Roman"/>
                <w:sz w:val="24"/>
                <w:szCs w:val="24"/>
              </w:rPr>
              <w:t>H20073235</w:t>
            </w:r>
          </w:p>
        </w:tc>
      </w:tr>
      <w:tr w:rsidR="00B11091" w:rsidRPr="00C9149C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E77EA6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其它</w:t>
            </w:r>
            <w:r w:rsidR="00B11091" w:rsidRPr="00E77EA6">
              <w:rPr>
                <w:rFonts w:ascii="Times New Roman" w:hAnsi="Times New Roman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E77EA6" w:rsidRDefault="00EA1C5E" w:rsidP="00185C48">
            <w:pPr>
              <w:rPr>
                <w:sz w:val="24"/>
                <w:lang w:val="zh-TW" w:bidi="sa-IN"/>
              </w:rPr>
            </w:pPr>
            <w:r w:rsidRPr="00E77EA6">
              <w:rPr>
                <w:rFonts w:hint="eastAsia"/>
                <w:sz w:val="24"/>
                <w:lang w:val="zh-TW" w:bidi="sa-IN"/>
              </w:rPr>
              <w:t>不适用</w:t>
            </w:r>
          </w:p>
        </w:tc>
      </w:tr>
      <w:tr w:rsidR="00B11091" w:rsidRPr="00C9149C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E77EA6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B11091" w:rsidRPr="00E77EA6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E77EA6">
              <w:rPr>
                <w:rFonts w:ascii="Times New Roman" w:hAnsi="Times New Roman" w:hint="eastAsia"/>
                <w:sz w:val="24"/>
                <w:szCs w:val="24"/>
              </w:rPr>
              <w:t>有工艺变更</w:t>
            </w:r>
            <w:r w:rsidR="00B11091" w:rsidRPr="00E77EA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B11091" w:rsidRPr="00E77EA6" w:rsidRDefault="00B11091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□无工艺变更</w:t>
            </w:r>
          </w:p>
          <w:p w:rsidR="00B11091" w:rsidRPr="00E77EA6" w:rsidRDefault="00B11091" w:rsidP="00D65897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□其</w:t>
            </w:r>
            <w:r w:rsidR="00D65897" w:rsidRPr="00E77EA6">
              <w:rPr>
                <w:rFonts w:ascii="Times New Roman" w:hAnsi="Times New Roman" w:hint="eastAsia"/>
                <w:sz w:val="24"/>
                <w:szCs w:val="24"/>
              </w:rPr>
              <w:t>它</w:t>
            </w:r>
          </w:p>
        </w:tc>
      </w:tr>
      <w:tr w:rsidR="00B11C80" w:rsidRPr="00C9149C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C44E9D" w:rsidRDefault="007F3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="00B11C80" w:rsidRPr="00C44E9D">
              <w:rPr>
                <w:rFonts w:ascii="Times New Roman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C44E9D" w:rsidRDefault="00C44E9D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/>
                <w:sz w:val="24"/>
                <w:szCs w:val="24"/>
              </w:rPr>
              <w:t>20181001</w:t>
            </w:r>
          </w:p>
        </w:tc>
      </w:tr>
      <w:tr w:rsidR="00B11C80" w:rsidRPr="00C9149C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C44E9D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C44E9D" w:rsidRDefault="00C44E9D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吉林省药品</w:t>
            </w:r>
            <w:r w:rsidRPr="00C44E9D">
              <w:rPr>
                <w:rFonts w:ascii="Times New Roman" w:hAnsi="Times New Roman"/>
                <w:sz w:val="24"/>
                <w:szCs w:val="24"/>
              </w:rPr>
              <w:t>检验研究院</w:t>
            </w:r>
          </w:p>
        </w:tc>
      </w:tr>
      <w:tr w:rsidR="00B11C80" w:rsidRPr="00C9149C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C44E9D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C44E9D" w:rsidRDefault="00C44E9D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结果符合</w:t>
            </w:r>
            <w:r w:rsidRPr="00C44E9D">
              <w:rPr>
                <w:rFonts w:ascii="Times New Roman" w:hAnsi="Times New Roman"/>
                <w:sz w:val="24"/>
                <w:szCs w:val="24"/>
              </w:rPr>
              <w:t>规定</w:t>
            </w:r>
          </w:p>
        </w:tc>
      </w:tr>
      <w:tr w:rsidR="00B11091" w:rsidRPr="00C9149C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C44E9D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完成的临床研究</w:t>
            </w:r>
            <w:r w:rsidR="00B11091" w:rsidRPr="00C44E9D">
              <w:rPr>
                <w:rFonts w:ascii="Times New Roman" w:hAnsi="Times New Roman" w:hint="eastAsia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B11091" w:rsidRPr="00C44E9D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C44E9D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="00D65897" w:rsidRPr="00C44E9D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B11091" w:rsidRPr="00C44E9D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Pr="00C44E9D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Pr="00C44E9D">
              <w:rPr>
                <w:rFonts w:ascii="Times New Roman" w:hAnsi="Times New Roman" w:hint="eastAsia"/>
                <w:sz w:val="24"/>
                <w:szCs w:val="24"/>
              </w:rPr>
              <w:t>终点生物等效性</w:t>
            </w:r>
            <w:r w:rsidR="00D65897" w:rsidRPr="00C44E9D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  <w:p w:rsidR="00B11091" w:rsidRPr="00C44E9D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D65897" w:rsidRPr="00C44E9D">
              <w:rPr>
                <w:rFonts w:ascii="Times New Roman" w:hAnsi="Times New Roman" w:hint="eastAsia"/>
                <w:sz w:val="24"/>
                <w:szCs w:val="24"/>
              </w:rPr>
              <w:t>临床研究</w:t>
            </w:r>
          </w:p>
          <w:p w:rsidR="00B11091" w:rsidRPr="00C44E9D" w:rsidRDefault="00D65897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□其它</w:t>
            </w:r>
          </w:p>
        </w:tc>
      </w:tr>
      <w:tr w:rsidR="00B11091" w:rsidRPr="00C9149C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C44E9D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C44E9D">
              <w:rPr>
                <w:rFonts w:ascii="Times New Roman" w:hAnsi="Times New Roman" w:hint="eastAsia"/>
                <w:sz w:val="24"/>
                <w:szCs w:val="24"/>
              </w:rPr>
              <w:t>备案号</w:t>
            </w:r>
            <w:r w:rsidRPr="00C44E9D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C44E9D">
              <w:rPr>
                <w:rFonts w:ascii="Times New Roman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C44E9D" w:rsidRDefault="00C44E9D" w:rsidP="00C44E9D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44E9D">
              <w:rPr>
                <w:rFonts w:ascii="Times New Roman" w:eastAsiaTheme="minorEastAsia" w:hAnsi="Times New Roman"/>
                <w:sz w:val="24"/>
                <w:szCs w:val="24"/>
              </w:rPr>
              <w:t>B201800612-03</w:t>
            </w:r>
          </w:p>
        </w:tc>
      </w:tr>
      <w:tr w:rsidR="00B11091" w:rsidRPr="00C9149C" w:rsidTr="008A03A5">
        <w:trPr>
          <w:trHeight w:val="412"/>
          <w:jc w:val="center"/>
        </w:trPr>
        <w:tc>
          <w:tcPr>
            <w:tcW w:w="3491" w:type="dxa"/>
            <w:vAlign w:val="center"/>
          </w:tcPr>
          <w:p w:rsidR="00B11091" w:rsidRPr="00C44E9D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="00B11091" w:rsidRPr="00C44E9D">
              <w:rPr>
                <w:rFonts w:ascii="Times New Roman" w:hAnsi="Times New Roman" w:hint="eastAsia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C44E9D" w:rsidRDefault="00C44E9D" w:rsidP="00F2642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44E9D">
              <w:rPr>
                <w:rFonts w:ascii="Times New Roman" w:eastAsiaTheme="minorEastAsia" w:hAnsi="Times New Roman"/>
                <w:sz w:val="24"/>
                <w:szCs w:val="24"/>
              </w:rPr>
              <w:t>南京市第二医院</w:t>
            </w:r>
          </w:p>
        </w:tc>
      </w:tr>
      <w:tr w:rsidR="00B11091" w:rsidRPr="00C9149C" w:rsidTr="00DE2F8D">
        <w:trPr>
          <w:trHeight w:val="389"/>
          <w:jc w:val="center"/>
        </w:trPr>
        <w:tc>
          <w:tcPr>
            <w:tcW w:w="3491" w:type="dxa"/>
            <w:vAlign w:val="center"/>
          </w:tcPr>
          <w:p w:rsidR="00B11091" w:rsidRPr="00C44E9D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数据</w:t>
            </w:r>
            <w:r w:rsidR="00B11091" w:rsidRPr="00C44E9D">
              <w:rPr>
                <w:rFonts w:ascii="Times New Roman" w:hAnsi="Times New Roman" w:hint="eastAsia"/>
                <w:sz w:val="24"/>
                <w:szCs w:val="24"/>
              </w:rPr>
              <w:t>统计</w:t>
            </w:r>
            <w:r w:rsidRPr="00C44E9D">
              <w:rPr>
                <w:rFonts w:ascii="Times New Roman" w:hAnsi="Times New Roman" w:hint="eastAsia"/>
                <w:sz w:val="24"/>
                <w:szCs w:val="24"/>
              </w:rPr>
              <w:t>分析</w:t>
            </w:r>
            <w:r w:rsidR="00B11091" w:rsidRPr="00C44E9D">
              <w:rPr>
                <w:rFonts w:ascii="Times New Roman" w:hAnsi="Times New Roman" w:hint="eastAsia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C44E9D" w:rsidRDefault="00C44E9D" w:rsidP="00F2642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44E9D">
              <w:rPr>
                <w:rFonts w:ascii="Times New Roman" w:eastAsiaTheme="minorEastAsia" w:hAnsi="Times New Roman"/>
                <w:sz w:val="24"/>
                <w:szCs w:val="24"/>
              </w:rPr>
              <w:t>上海韧致数据技术有限公司</w:t>
            </w:r>
          </w:p>
        </w:tc>
      </w:tr>
      <w:tr w:rsidR="00B11091" w:rsidRPr="00C9149C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C44E9D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生物样本</w:t>
            </w:r>
            <w:r w:rsidR="00B11091" w:rsidRPr="00C44E9D">
              <w:rPr>
                <w:rFonts w:ascii="Times New Roman" w:hAnsi="Times New Roman" w:hint="eastAsia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C44E9D" w:rsidRDefault="00C44E9D" w:rsidP="00F2642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44E9D">
              <w:rPr>
                <w:rFonts w:ascii="Times New Roman" w:eastAsiaTheme="minorEastAsia" w:hAnsi="Times New Roman"/>
                <w:sz w:val="24"/>
                <w:szCs w:val="24"/>
              </w:rPr>
              <w:t>南京科利泰医药科技有限公司</w:t>
            </w:r>
          </w:p>
        </w:tc>
      </w:tr>
      <w:tr w:rsidR="00635EF5" w:rsidRPr="00C9149C" w:rsidTr="008A03A5">
        <w:trPr>
          <w:trHeight w:val="406"/>
          <w:jc w:val="center"/>
        </w:trPr>
        <w:tc>
          <w:tcPr>
            <w:tcW w:w="3491" w:type="dxa"/>
            <w:vAlign w:val="center"/>
          </w:tcPr>
          <w:p w:rsidR="00635EF5" w:rsidRPr="00C44E9D" w:rsidRDefault="008134A0" w:rsidP="008134A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676B95" w:rsidRPr="00C44E9D" w:rsidRDefault="00C44E9D" w:rsidP="00676B95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44E9D">
              <w:rPr>
                <w:rFonts w:ascii="Times New Roman" w:eastAsiaTheme="minorEastAsia" w:hAnsi="Times New Roman"/>
                <w:sz w:val="24"/>
                <w:szCs w:val="24"/>
              </w:rPr>
              <w:t>阿莫西林胶囊在健康受试者中随机、开放、单剂量、双周期、双交叉空腹和餐后状态下的生物等效性试验</w:t>
            </w:r>
          </w:p>
        </w:tc>
      </w:tr>
      <w:tr w:rsidR="008134A0" w:rsidRPr="00C9149C" w:rsidTr="008A03A5">
        <w:trPr>
          <w:trHeight w:val="515"/>
          <w:jc w:val="center"/>
        </w:trPr>
        <w:tc>
          <w:tcPr>
            <w:tcW w:w="3491" w:type="dxa"/>
            <w:vAlign w:val="center"/>
          </w:tcPr>
          <w:p w:rsidR="008134A0" w:rsidRPr="00C44E9D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8134A0" w:rsidRPr="00C44E9D" w:rsidRDefault="00F26423" w:rsidP="00F2642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44E9D">
              <w:rPr>
                <w:rFonts w:ascii="Times New Roman" w:eastAsiaTheme="minorEastAsia" w:hAnsi="Times New Roman" w:hint="eastAsia"/>
                <w:sz w:val="24"/>
                <w:szCs w:val="24"/>
              </w:rPr>
              <w:t>阿莫西林</w:t>
            </w:r>
          </w:p>
        </w:tc>
      </w:tr>
      <w:tr w:rsidR="0066279A" w:rsidRPr="00C9149C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66279A" w:rsidRPr="00C44E9D" w:rsidRDefault="0066279A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66279A" w:rsidRPr="00C44E9D" w:rsidRDefault="0066279A" w:rsidP="00F2642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44E9D">
              <w:rPr>
                <w:rFonts w:ascii="Times New Roman" w:eastAsiaTheme="minorEastAsia" w:hAnsi="Times New Roman" w:hint="eastAsia"/>
                <w:sz w:val="24"/>
                <w:szCs w:val="24"/>
              </w:rPr>
              <w:t>LC-MS/MS</w:t>
            </w:r>
            <w:r w:rsidR="00057A00" w:rsidRPr="00C44E9D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C9149C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505583" w:rsidRPr="00C44E9D" w:rsidRDefault="00587924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Pr="00C44E9D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C44E9D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C44E9D">
              <w:rPr>
                <w:rFonts w:ascii="Times New Roman" w:hAnsi="Times New Roman"/>
                <w:sz w:val="24"/>
                <w:szCs w:val="24"/>
              </w:rPr>
              <w:t>情况</w:t>
            </w:r>
          </w:p>
        </w:tc>
        <w:tc>
          <w:tcPr>
            <w:tcW w:w="5843" w:type="dxa"/>
            <w:vAlign w:val="center"/>
          </w:tcPr>
          <w:p w:rsidR="00505583" w:rsidRPr="00C44E9D" w:rsidRDefault="00B17EA0" w:rsidP="00B17EA0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BB5F6A">
              <w:rPr>
                <w:rFonts w:ascii="Times New Roman" w:hAnsi="Times New Roman" w:hint="eastAsia"/>
                <w:sz w:val="24"/>
                <w:szCs w:val="24"/>
              </w:rPr>
              <w:t>根据</w:t>
            </w:r>
            <w:r>
              <w:rPr>
                <w:rFonts w:ascii="Times New Roman" w:hAnsi="Times New Roman"/>
                <w:sz w:val="24"/>
                <w:szCs w:val="24"/>
              </w:rPr>
              <w:t>0.25</w:t>
            </w:r>
            <w:r w:rsidRPr="00BB5F6A">
              <w:rPr>
                <w:rFonts w:ascii="Times New Roman" w:hAnsi="Times New Roman" w:hint="eastAsia"/>
                <w:sz w:val="24"/>
                <w:szCs w:val="24"/>
              </w:rPr>
              <w:t>g</w:t>
            </w:r>
            <w:r w:rsidRPr="00BB5F6A">
              <w:rPr>
                <w:rFonts w:ascii="Times New Roman" w:hAnsi="Times New Roman" w:hint="eastAsia"/>
                <w:sz w:val="24"/>
                <w:szCs w:val="24"/>
              </w:rPr>
              <w:t>规格生物等效性研究豁免</w:t>
            </w:r>
            <w:r w:rsidRPr="00C44E9D">
              <w:rPr>
                <w:rFonts w:ascii="Times New Roman" w:hAnsi="Times New Roman" w:hint="eastAsia"/>
                <w:sz w:val="24"/>
                <w:szCs w:val="24"/>
              </w:rPr>
              <w:t>0.125</w:t>
            </w:r>
            <w:r w:rsidRPr="00C44E9D">
              <w:rPr>
                <w:rFonts w:ascii="Times New Roman" w:hAnsi="Times New Roman"/>
                <w:sz w:val="24"/>
                <w:szCs w:val="24"/>
              </w:rPr>
              <w:t>g</w:t>
            </w:r>
            <w:r w:rsidRPr="00BB5F6A"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 w:rsidRPr="00BB5F6A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BB5F6A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</w:tc>
      </w:tr>
    </w:tbl>
    <w:p w:rsidR="00B11091" w:rsidRPr="00C44E9D" w:rsidRDefault="00825632" w:rsidP="00587924">
      <w:pPr>
        <w:spacing w:line="360" w:lineRule="auto"/>
        <w:rPr>
          <w:rFonts w:ascii="Times New Roman" w:hAnsi="Times New Roman"/>
          <w:sz w:val="24"/>
          <w:szCs w:val="24"/>
        </w:rPr>
      </w:pPr>
      <w:r w:rsidRPr="00C44E9D">
        <w:rPr>
          <w:rFonts w:ascii="Times New Roman" w:hAnsi="Times New Roman" w:hint="eastAsia"/>
          <w:b/>
          <w:sz w:val="24"/>
          <w:szCs w:val="24"/>
        </w:rPr>
        <w:lastRenderedPageBreak/>
        <w:t>2.</w:t>
      </w:r>
      <w:r w:rsidRPr="00C44E9D">
        <w:rPr>
          <w:rFonts w:ascii="Times New Roman" w:hAnsi="Times New Roman" w:hint="eastAsia"/>
          <w:b/>
          <w:sz w:val="24"/>
          <w:szCs w:val="24"/>
        </w:rPr>
        <w:t>生物等效性</w:t>
      </w:r>
      <w:r w:rsidR="005D604A" w:rsidRPr="00C44E9D">
        <w:rPr>
          <w:rFonts w:ascii="Times New Roman" w:hAnsi="Times New Roman" w:hint="eastAsia"/>
          <w:b/>
          <w:sz w:val="24"/>
          <w:szCs w:val="24"/>
        </w:rPr>
        <w:t>研究</w:t>
      </w:r>
      <w:r w:rsidR="00B11091" w:rsidRPr="00C44E9D">
        <w:rPr>
          <w:rFonts w:ascii="Times New Roman" w:hAnsi="Times New Roman" w:hint="eastAsia"/>
          <w:b/>
          <w:sz w:val="24"/>
          <w:szCs w:val="24"/>
        </w:rPr>
        <w:t>结果</w:t>
      </w:r>
      <w:r w:rsidR="00587924" w:rsidRPr="00C44E9D">
        <w:rPr>
          <w:rFonts w:ascii="Times New Roman" w:hAnsi="Times New Roman" w:hint="eastAsia"/>
          <w:sz w:val="24"/>
          <w:szCs w:val="24"/>
        </w:rPr>
        <w:t>（</w:t>
      </w:r>
      <w:r w:rsidR="00DE2F8D" w:rsidRPr="00C44E9D">
        <w:rPr>
          <w:rFonts w:ascii="Times New Roman" w:hAnsi="Times New Roman"/>
          <w:sz w:val="24"/>
          <w:szCs w:val="24"/>
        </w:rPr>
        <w:t>0.</w:t>
      </w:r>
      <w:r w:rsidR="008F7ECA" w:rsidRPr="00C44E9D">
        <w:rPr>
          <w:rFonts w:ascii="Times New Roman" w:hAnsi="Times New Roman"/>
          <w:sz w:val="24"/>
          <w:szCs w:val="24"/>
        </w:rPr>
        <w:t>2</w:t>
      </w:r>
      <w:r w:rsidR="00DE2F8D" w:rsidRPr="00C44E9D">
        <w:rPr>
          <w:rFonts w:ascii="Times New Roman" w:hAnsi="Times New Roman"/>
          <w:sz w:val="24"/>
          <w:szCs w:val="24"/>
        </w:rPr>
        <w:t>5</w:t>
      </w:r>
      <w:r w:rsidR="006E68C9" w:rsidRPr="00C44E9D">
        <w:rPr>
          <w:rFonts w:ascii="Times New Roman" w:hAnsi="Times New Roman" w:hint="eastAsia"/>
          <w:sz w:val="24"/>
          <w:szCs w:val="24"/>
        </w:rPr>
        <w:t>g</w:t>
      </w:r>
      <w:r w:rsidR="006E68C9" w:rsidRPr="00C44E9D">
        <w:rPr>
          <w:rFonts w:ascii="Times New Roman" w:hAnsi="Times New Roman" w:hint="eastAsia"/>
          <w:sz w:val="24"/>
          <w:szCs w:val="24"/>
        </w:rPr>
        <w:t>规格</w:t>
      </w:r>
      <w:r w:rsidR="00587924" w:rsidRPr="00C44E9D">
        <w:rPr>
          <w:rFonts w:ascii="Times New Roman" w:hAnsi="Times New Roman" w:hint="eastAsia"/>
          <w:sz w:val="24"/>
          <w:szCs w:val="24"/>
        </w:rPr>
        <w:t>）</w:t>
      </w:r>
    </w:p>
    <w:tbl>
      <w:tblPr>
        <w:tblStyle w:val="a7"/>
        <w:tblW w:w="4866" w:type="pct"/>
        <w:jc w:val="center"/>
        <w:tblLook w:val="04A0" w:firstRow="1" w:lastRow="0" w:firstColumn="1" w:lastColumn="0" w:noHBand="0" w:noVBand="1"/>
      </w:tblPr>
      <w:tblGrid>
        <w:gridCol w:w="1071"/>
        <w:gridCol w:w="1746"/>
        <w:gridCol w:w="1109"/>
        <w:gridCol w:w="1109"/>
        <w:gridCol w:w="1205"/>
        <w:gridCol w:w="1834"/>
      </w:tblGrid>
      <w:tr w:rsidR="00641826" w:rsidRPr="00C9149C" w:rsidTr="00E2667B">
        <w:trPr>
          <w:trHeight w:val="426"/>
          <w:jc w:val="center"/>
        </w:trPr>
        <w:tc>
          <w:tcPr>
            <w:tcW w:w="663" w:type="pct"/>
            <w:vMerge w:val="restart"/>
            <w:vAlign w:val="center"/>
          </w:tcPr>
          <w:p w:rsidR="00641826" w:rsidRPr="00C44E9D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C44E9D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C9149C" w:rsidRDefault="00641826" w:rsidP="00676B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C44E9D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C44E9D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F26423" w:rsidRPr="00C44E9D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676B95" w:rsidRPr="00C44E9D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C44E9D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081" w:type="pct"/>
            <w:vMerge w:val="restar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20" w:type="pct"/>
            <w:gridSpan w:val="3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6" w:type="pct"/>
            <w:vMerge w:val="restar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C9149C" w:rsidTr="00E2667B">
        <w:trPr>
          <w:trHeight w:val="426"/>
          <w:jc w:val="center"/>
        </w:trPr>
        <w:tc>
          <w:tcPr>
            <w:tcW w:w="663" w:type="pct"/>
            <w:vMerge/>
          </w:tcPr>
          <w:p w:rsidR="00641826" w:rsidRPr="00C9149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81" w:type="pct"/>
            <w:vMerge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7" w:type="pc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7" w:type="pc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6" w:type="pc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6" w:type="pct"/>
            <w:vMerge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44E9D" w:rsidRPr="00C9149C" w:rsidTr="00C44E9D">
        <w:trPr>
          <w:trHeight w:val="457"/>
          <w:jc w:val="center"/>
        </w:trPr>
        <w:tc>
          <w:tcPr>
            <w:tcW w:w="663" w:type="pct"/>
            <w:vMerge/>
          </w:tcPr>
          <w:p w:rsidR="00C44E9D" w:rsidRPr="00C9149C" w:rsidRDefault="00C44E9D" w:rsidP="00C44E9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81" w:type="pct"/>
            <w:vAlign w:val="center"/>
          </w:tcPr>
          <w:p w:rsidR="00C44E9D" w:rsidRPr="00C44E9D" w:rsidRDefault="00C44E9D" w:rsidP="00C44E9D">
            <w:pPr>
              <w:pStyle w:val="af"/>
              <w:rPr>
                <w:vertAlign w:val="subscript"/>
              </w:rPr>
            </w:pPr>
            <w:proofErr w:type="spellStart"/>
            <w:r w:rsidRPr="00C44E9D">
              <w:t>C</w:t>
            </w:r>
            <w:r w:rsidRPr="00C44E9D">
              <w:rPr>
                <w:vertAlign w:val="subscript"/>
              </w:rPr>
              <w:t>max</w:t>
            </w:r>
            <w:proofErr w:type="spellEnd"/>
            <w:r w:rsidRPr="00C44E9D">
              <w:rPr>
                <w:vertAlign w:val="subscript"/>
              </w:rPr>
              <w:t xml:space="preserve"> </w:t>
            </w:r>
            <w:r w:rsidRPr="00C44E9D">
              <w:t>(ng/mL)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5394.09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5816.23</w:t>
            </w:r>
          </w:p>
        </w:tc>
        <w:tc>
          <w:tcPr>
            <w:tcW w:w="746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92.74</w:t>
            </w:r>
          </w:p>
        </w:tc>
        <w:tc>
          <w:tcPr>
            <w:tcW w:w="1136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87.16%~98.68%</w:t>
            </w:r>
          </w:p>
        </w:tc>
      </w:tr>
      <w:tr w:rsidR="00C44E9D" w:rsidRPr="00C9149C" w:rsidTr="00C44E9D">
        <w:trPr>
          <w:trHeight w:val="488"/>
          <w:jc w:val="center"/>
        </w:trPr>
        <w:tc>
          <w:tcPr>
            <w:tcW w:w="663" w:type="pct"/>
            <w:vMerge/>
          </w:tcPr>
          <w:p w:rsidR="00C44E9D" w:rsidRPr="00C9149C" w:rsidRDefault="00C44E9D" w:rsidP="00C44E9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81" w:type="pct"/>
            <w:vAlign w:val="center"/>
          </w:tcPr>
          <w:p w:rsidR="00C44E9D" w:rsidRPr="00C44E9D" w:rsidRDefault="00C44E9D" w:rsidP="00C44E9D">
            <w:pPr>
              <w:pStyle w:val="af"/>
              <w:rPr>
                <w:lang w:val="de-DE"/>
              </w:rPr>
            </w:pPr>
            <w:r w:rsidRPr="00C44E9D">
              <w:rPr>
                <w:lang w:val="de-DE"/>
              </w:rPr>
              <w:t>AUC</w:t>
            </w:r>
            <w:r w:rsidRPr="00C44E9D">
              <w:rPr>
                <w:vertAlign w:val="subscript"/>
                <w:lang w:val="de-DE"/>
              </w:rPr>
              <w:t>0-t</w:t>
            </w:r>
            <w:r w:rsidRPr="00C44E9D">
              <w:rPr>
                <w:lang w:val="de-DE"/>
              </w:rPr>
              <w:t xml:space="preserve"> (h·ng/mL)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13677.29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13744.49</w:t>
            </w:r>
          </w:p>
        </w:tc>
        <w:tc>
          <w:tcPr>
            <w:tcW w:w="746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99.51</w:t>
            </w:r>
          </w:p>
        </w:tc>
        <w:tc>
          <w:tcPr>
            <w:tcW w:w="1136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96.39%~102.74%</w:t>
            </w:r>
          </w:p>
        </w:tc>
      </w:tr>
      <w:tr w:rsidR="00C44E9D" w:rsidRPr="00C9149C" w:rsidTr="00C44E9D">
        <w:trPr>
          <w:trHeight w:val="519"/>
          <w:jc w:val="center"/>
        </w:trPr>
        <w:tc>
          <w:tcPr>
            <w:tcW w:w="663" w:type="pct"/>
            <w:vMerge/>
          </w:tcPr>
          <w:p w:rsidR="00C44E9D" w:rsidRPr="00C9149C" w:rsidRDefault="00C44E9D" w:rsidP="00C44E9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81" w:type="pct"/>
            <w:vAlign w:val="center"/>
          </w:tcPr>
          <w:p w:rsidR="00C44E9D" w:rsidRPr="00C44E9D" w:rsidRDefault="00C44E9D" w:rsidP="00C44E9D">
            <w:pPr>
              <w:pStyle w:val="af"/>
              <w:rPr>
                <w:lang w:val="de-DE"/>
              </w:rPr>
            </w:pPr>
            <w:r w:rsidRPr="00C44E9D">
              <w:rPr>
                <w:lang w:val="de-DE"/>
              </w:rPr>
              <w:t>AUC</w:t>
            </w:r>
            <w:r w:rsidRPr="00C44E9D">
              <w:rPr>
                <w:vertAlign w:val="subscript"/>
                <w:lang w:val="de-DE"/>
              </w:rPr>
              <w:t>0-∞</w:t>
            </w:r>
            <w:r w:rsidRPr="00C44E9D">
              <w:rPr>
                <w:lang w:val="de-DE"/>
              </w:rPr>
              <w:t xml:space="preserve"> (h·ng/mL)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13912.29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13968.72</w:t>
            </w:r>
          </w:p>
        </w:tc>
        <w:tc>
          <w:tcPr>
            <w:tcW w:w="746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99.60</w:t>
            </w:r>
          </w:p>
        </w:tc>
        <w:tc>
          <w:tcPr>
            <w:tcW w:w="1136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96.42%~102.88%</w:t>
            </w:r>
          </w:p>
        </w:tc>
      </w:tr>
      <w:tr w:rsidR="00641826" w:rsidRPr="00C44E9D" w:rsidTr="00E2667B">
        <w:trPr>
          <w:trHeight w:val="426"/>
          <w:jc w:val="center"/>
        </w:trPr>
        <w:tc>
          <w:tcPr>
            <w:tcW w:w="663" w:type="pct"/>
            <w:vMerge w:val="restart"/>
            <w:vAlign w:val="center"/>
          </w:tcPr>
          <w:p w:rsidR="00641826" w:rsidRPr="00C44E9D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641826" w:rsidRPr="00C44E9D" w:rsidRDefault="00641826" w:rsidP="000569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C44E9D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C44E9D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F26423" w:rsidRPr="00C44E9D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056948" w:rsidRPr="00C44E9D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C44E9D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081" w:type="pct"/>
            <w:vMerge w:val="restar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20" w:type="pct"/>
            <w:gridSpan w:val="3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6" w:type="pct"/>
            <w:vMerge w:val="restar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C44E9D" w:rsidTr="00E2667B">
        <w:trPr>
          <w:trHeight w:val="426"/>
          <w:jc w:val="center"/>
        </w:trPr>
        <w:tc>
          <w:tcPr>
            <w:tcW w:w="663" w:type="pct"/>
            <w:vMerge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Merge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7" w:type="pc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7" w:type="pc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6" w:type="pc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6" w:type="pct"/>
            <w:vMerge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44E9D" w:rsidRPr="00C44E9D" w:rsidTr="00C44E9D">
        <w:trPr>
          <w:trHeight w:val="457"/>
          <w:jc w:val="center"/>
        </w:trPr>
        <w:tc>
          <w:tcPr>
            <w:tcW w:w="663" w:type="pct"/>
            <w:vMerge/>
          </w:tcPr>
          <w:p w:rsidR="00C44E9D" w:rsidRPr="00C44E9D" w:rsidRDefault="00C44E9D" w:rsidP="00C44E9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C44E9D" w:rsidRPr="00C44E9D" w:rsidRDefault="00C44E9D" w:rsidP="00C44E9D">
            <w:pPr>
              <w:pStyle w:val="af"/>
              <w:rPr>
                <w:vertAlign w:val="subscript"/>
              </w:rPr>
            </w:pPr>
            <w:proofErr w:type="spellStart"/>
            <w:r w:rsidRPr="00C44E9D">
              <w:t>C</w:t>
            </w:r>
            <w:r w:rsidRPr="00C44E9D">
              <w:rPr>
                <w:vertAlign w:val="subscript"/>
              </w:rPr>
              <w:t>max</w:t>
            </w:r>
            <w:proofErr w:type="spellEnd"/>
            <w:r w:rsidRPr="00C44E9D">
              <w:rPr>
                <w:vertAlign w:val="subscript"/>
              </w:rPr>
              <w:t xml:space="preserve"> </w:t>
            </w:r>
            <w:r w:rsidRPr="00C44E9D">
              <w:t>(ng/mL)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3613.78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3908.47</w:t>
            </w:r>
          </w:p>
        </w:tc>
        <w:tc>
          <w:tcPr>
            <w:tcW w:w="746" w:type="pct"/>
            <w:vAlign w:val="center"/>
          </w:tcPr>
          <w:p w:rsidR="00C44E9D" w:rsidRPr="00C44E9D" w:rsidRDefault="00C44E9D" w:rsidP="00C44E9D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92.46</w:t>
            </w:r>
          </w:p>
        </w:tc>
        <w:tc>
          <w:tcPr>
            <w:tcW w:w="1136" w:type="pct"/>
            <w:vAlign w:val="center"/>
          </w:tcPr>
          <w:p w:rsidR="00C44E9D" w:rsidRPr="00C44E9D" w:rsidRDefault="00C44E9D" w:rsidP="00C44E9D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86.19</w:t>
            </w:r>
            <w:r w:rsidRPr="00C44E9D">
              <w:t>%~</w:t>
            </w:r>
            <w:r w:rsidRPr="00C44E9D">
              <w:rPr>
                <w:color w:val="000000"/>
                <w:szCs w:val="21"/>
              </w:rPr>
              <w:t>99.18%</w:t>
            </w:r>
          </w:p>
        </w:tc>
      </w:tr>
      <w:tr w:rsidR="00C44E9D" w:rsidRPr="00C44E9D" w:rsidTr="00C44E9D">
        <w:trPr>
          <w:trHeight w:val="488"/>
          <w:jc w:val="center"/>
        </w:trPr>
        <w:tc>
          <w:tcPr>
            <w:tcW w:w="663" w:type="pct"/>
            <w:vMerge/>
          </w:tcPr>
          <w:p w:rsidR="00C44E9D" w:rsidRPr="00C44E9D" w:rsidRDefault="00C44E9D" w:rsidP="00C44E9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C44E9D" w:rsidRPr="00C44E9D" w:rsidRDefault="00C44E9D" w:rsidP="00C44E9D">
            <w:pPr>
              <w:pStyle w:val="af"/>
              <w:rPr>
                <w:lang w:val="de-DE"/>
              </w:rPr>
            </w:pPr>
            <w:r w:rsidRPr="00C44E9D">
              <w:rPr>
                <w:lang w:val="de-DE"/>
              </w:rPr>
              <w:t>AUC</w:t>
            </w:r>
            <w:r w:rsidRPr="00C44E9D">
              <w:rPr>
                <w:vertAlign w:val="subscript"/>
                <w:lang w:val="de-DE"/>
              </w:rPr>
              <w:t>0-t</w:t>
            </w:r>
            <w:r w:rsidRPr="00C44E9D">
              <w:rPr>
                <w:lang w:val="de-DE"/>
              </w:rPr>
              <w:t xml:space="preserve"> (h·ng/mL)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12215.22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12544.96</w:t>
            </w:r>
          </w:p>
        </w:tc>
        <w:tc>
          <w:tcPr>
            <w:tcW w:w="746" w:type="pct"/>
            <w:vAlign w:val="center"/>
          </w:tcPr>
          <w:p w:rsidR="00C44E9D" w:rsidRPr="00C44E9D" w:rsidRDefault="00C44E9D" w:rsidP="00C44E9D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97.37</w:t>
            </w:r>
          </w:p>
        </w:tc>
        <w:tc>
          <w:tcPr>
            <w:tcW w:w="1136" w:type="pct"/>
            <w:vAlign w:val="center"/>
          </w:tcPr>
          <w:p w:rsidR="00C44E9D" w:rsidRPr="00C44E9D" w:rsidRDefault="00C44E9D" w:rsidP="00C44E9D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93.45</w:t>
            </w:r>
            <w:r w:rsidRPr="00C44E9D">
              <w:t>%~</w:t>
            </w:r>
            <w:r w:rsidRPr="00C44E9D">
              <w:rPr>
                <w:color w:val="000000"/>
                <w:szCs w:val="21"/>
              </w:rPr>
              <w:t>101.45%</w:t>
            </w:r>
          </w:p>
        </w:tc>
      </w:tr>
      <w:tr w:rsidR="00C44E9D" w:rsidRPr="00C44E9D" w:rsidTr="00C44E9D">
        <w:trPr>
          <w:trHeight w:val="519"/>
          <w:jc w:val="center"/>
        </w:trPr>
        <w:tc>
          <w:tcPr>
            <w:tcW w:w="663" w:type="pct"/>
            <w:vMerge/>
          </w:tcPr>
          <w:p w:rsidR="00C44E9D" w:rsidRPr="00C44E9D" w:rsidRDefault="00C44E9D" w:rsidP="00C44E9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C44E9D" w:rsidRPr="00C44E9D" w:rsidRDefault="00C44E9D" w:rsidP="00C44E9D">
            <w:pPr>
              <w:pStyle w:val="af"/>
              <w:rPr>
                <w:lang w:val="de-DE"/>
              </w:rPr>
            </w:pPr>
            <w:r w:rsidRPr="00C44E9D">
              <w:rPr>
                <w:lang w:val="de-DE"/>
              </w:rPr>
              <w:t>AUC</w:t>
            </w:r>
            <w:r w:rsidRPr="00C44E9D">
              <w:rPr>
                <w:vertAlign w:val="subscript"/>
                <w:lang w:val="de-DE"/>
              </w:rPr>
              <w:t>0-∞</w:t>
            </w:r>
            <w:r w:rsidRPr="00C44E9D">
              <w:rPr>
                <w:lang w:val="de-DE"/>
              </w:rPr>
              <w:t xml:space="preserve"> (h·ng/mL)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13002.97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13273.63</w:t>
            </w:r>
          </w:p>
        </w:tc>
        <w:tc>
          <w:tcPr>
            <w:tcW w:w="746" w:type="pct"/>
            <w:vAlign w:val="center"/>
          </w:tcPr>
          <w:p w:rsidR="00C44E9D" w:rsidRPr="00C44E9D" w:rsidRDefault="00C44E9D" w:rsidP="00C44E9D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97.96</w:t>
            </w:r>
          </w:p>
        </w:tc>
        <w:tc>
          <w:tcPr>
            <w:tcW w:w="1136" w:type="pct"/>
            <w:vAlign w:val="center"/>
          </w:tcPr>
          <w:p w:rsidR="00C44E9D" w:rsidRPr="00C44E9D" w:rsidRDefault="00C44E9D" w:rsidP="00C44E9D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94.54</w:t>
            </w:r>
            <w:r w:rsidRPr="00C44E9D">
              <w:t>%~</w:t>
            </w:r>
            <w:r w:rsidRPr="00C44E9D">
              <w:rPr>
                <w:color w:val="000000"/>
                <w:szCs w:val="21"/>
              </w:rPr>
              <w:t>101.51%</w:t>
            </w:r>
          </w:p>
        </w:tc>
      </w:tr>
    </w:tbl>
    <w:p w:rsidR="00B11091" w:rsidRPr="00C44E9D" w:rsidRDefault="00825632" w:rsidP="00635EF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44E9D">
        <w:rPr>
          <w:rFonts w:ascii="Times New Roman" w:hAnsi="Times New Roman" w:hint="eastAsia"/>
          <w:b/>
          <w:sz w:val="24"/>
          <w:szCs w:val="24"/>
        </w:rPr>
        <w:t>3.</w:t>
      </w:r>
      <w:r w:rsidRPr="00C44E9D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825632" w:rsidRPr="00427F2E" w:rsidRDefault="00C44E9D" w:rsidP="00CA471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r w:rsidRPr="00C44E9D">
        <w:rPr>
          <w:rFonts w:ascii="Times New Roman" w:hAnsi="Times New Roman" w:hint="eastAsia"/>
          <w:sz w:val="24"/>
          <w:szCs w:val="24"/>
        </w:rPr>
        <w:t>吉林显锋科技制药有限公司</w:t>
      </w:r>
      <w:r w:rsidR="007F1374" w:rsidRPr="00C44E9D">
        <w:rPr>
          <w:rFonts w:ascii="Times New Roman" w:hAnsi="Times New Roman" w:hint="eastAsia"/>
          <w:sz w:val="24"/>
          <w:szCs w:val="24"/>
        </w:rPr>
        <w:t>生产的</w:t>
      </w:r>
      <w:r w:rsidR="00F26423" w:rsidRPr="00C44E9D">
        <w:rPr>
          <w:rFonts w:ascii="Times New Roman" w:hAnsi="Times New Roman" w:hint="eastAsia"/>
          <w:sz w:val="24"/>
          <w:szCs w:val="24"/>
        </w:rPr>
        <w:t>阿莫西林胶囊</w:t>
      </w:r>
      <w:r w:rsidR="00E02597" w:rsidRPr="00C44E9D">
        <w:rPr>
          <w:rFonts w:ascii="Times New Roman" w:hAnsi="Times New Roman" w:hint="eastAsia"/>
          <w:sz w:val="24"/>
          <w:szCs w:val="24"/>
        </w:rPr>
        <w:t>通过</w:t>
      </w:r>
      <w:r w:rsidR="00825632" w:rsidRPr="00C44E9D">
        <w:rPr>
          <w:rFonts w:ascii="Times New Roman" w:hAnsi="Times New Roman" w:hint="eastAsia"/>
          <w:sz w:val="24"/>
          <w:szCs w:val="24"/>
        </w:rPr>
        <w:t>仿制药质量与疗效一致性评价。</w:t>
      </w:r>
    </w:p>
    <w:sectPr w:rsidR="00825632" w:rsidRPr="00427F2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2ED" w:rsidRDefault="001832ED" w:rsidP="00D45C81">
      <w:r>
        <w:separator/>
      </w:r>
    </w:p>
  </w:endnote>
  <w:endnote w:type="continuationSeparator" w:id="0">
    <w:p w:rsidR="001832ED" w:rsidRDefault="001832E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 UI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17EA0" w:rsidRPr="00B17EA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2ED" w:rsidRDefault="001832ED" w:rsidP="00D45C81">
      <w:r>
        <w:separator/>
      </w:r>
    </w:p>
  </w:footnote>
  <w:footnote w:type="continuationSeparator" w:id="0">
    <w:p w:rsidR="001832ED" w:rsidRDefault="001832E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54C"/>
    <w:rsid w:val="00002870"/>
    <w:rsid w:val="00002F84"/>
    <w:rsid w:val="00017BF7"/>
    <w:rsid w:val="00021EB0"/>
    <w:rsid w:val="000237DE"/>
    <w:rsid w:val="000259AC"/>
    <w:rsid w:val="00025D61"/>
    <w:rsid w:val="00051AAE"/>
    <w:rsid w:val="00052A6C"/>
    <w:rsid w:val="000566B2"/>
    <w:rsid w:val="00056948"/>
    <w:rsid w:val="00057A00"/>
    <w:rsid w:val="00066740"/>
    <w:rsid w:val="000676B7"/>
    <w:rsid w:val="00067BA5"/>
    <w:rsid w:val="000826CB"/>
    <w:rsid w:val="00086BAF"/>
    <w:rsid w:val="00087468"/>
    <w:rsid w:val="00093E39"/>
    <w:rsid w:val="000A05F8"/>
    <w:rsid w:val="000A64C5"/>
    <w:rsid w:val="000A6D15"/>
    <w:rsid w:val="000B7EF9"/>
    <w:rsid w:val="000C2394"/>
    <w:rsid w:val="000C2492"/>
    <w:rsid w:val="000C344B"/>
    <w:rsid w:val="000D1A23"/>
    <w:rsid w:val="000D2E0E"/>
    <w:rsid w:val="000E4063"/>
    <w:rsid w:val="000F7095"/>
    <w:rsid w:val="00100620"/>
    <w:rsid w:val="001136E7"/>
    <w:rsid w:val="00117F5E"/>
    <w:rsid w:val="00130DB7"/>
    <w:rsid w:val="001378A9"/>
    <w:rsid w:val="00142C4E"/>
    <w:rsid w:val="001460F9"/>
    <w:rsid w:val="0015186D"/>
    <w:rsid w:val="00156DB8"/>
    <w:rsid w:val="00162F3F"/>
    <w:rsid w:val="001634D2"/>
    <w:rsid w:val="001767C7"/>
    <w:rsid w:val="00182DC1"/>
    <w:rsid w:val="001832ED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5C6C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40B3"/>
    <w:rsid w:val="002358FD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27F2E"/>
    <w:rsid w:val="0043106E"/>
    <w:rsid w:val="0043216B"/>
    <w:rsid w:val="00443575"/>
    <w:rsid w:val="00453A35"/>
    <w:rsid w:val="00475093"/>
    <w:rsid w:val="00476B6B"/>
    <w:rsid w:val="00480D74"/>
    <w:rsid w:val="00481516"/>
    <w:rsid w:val="00492BFB"/>
    <w:rsid w:val="00493494"/>
    <w:rsid w:val="0049494C"/>
    <w:rsid w:val="00496359"/>
    <w:rsid w:val="00496BC5"/>
    <w:rsid w:val="004979B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46E47"/>
    <w:rsid w:val="0055190A"/>
    <w:rsid w:val="005623CE"/>
    <w:rsid w:val="00571A98"/>
    <w:rsid w:val="00572AF5"/>
    <w:rsid w:val="005768B6"/>
    <w:rsid w:val="005817DD"/>
    <w:rsid w:val="0058429C"/>
    <w:rsid w:val="00587924"/>
    <w:rsid w:val="0059389B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6B95"/>
    <w:rsid w:val="00677092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1D14"/>
    <w:rsid w:val="006C24EC"/>
    <w:rsid w:val="006D4791"/>
    <w:rsid w:val="006E260C"/>
    <w:rsid w:val="006E547E"/>
    <w:rsid w:val="006E68C9"/>
    <w:rsid w:val="006E7106"/>
    <w:rsid w:val="006F6829"/>
    <w:rsid w:val="00701D37"/>
    <w:rsid w:val="00706C2F"/>
    <w:rsid w:val="00707F2C"/>
    <w:rsid w:val="00711544"/>
    <w:rsid w:val="007173F6"/>
    <w:rsid w:val="00741412"/>
    <w:rsid w:val="00746218"/>
    <w:rsid w:val="00750142"/>
    <w:rsid w:val="007520E3"/>
    <w:rsid w:val="007556E3"/>
    <w:rsid w:val="0075584F"/>
    <w:rsid w:val="0076083E"/>
    <w:rsid w:val="007700B2"/>
    <w:rsid w:val="007718A8"/>
    <w:rsid w:val="00771B52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3897"/>
    <w:rsid w:val="007F5C9E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43E8"/>
    <w:rsid w:val="008B4E7F"/>
    <w:rsid w:val="008B5E66"/>
    <w:rsid w:val="008C78F7"/>
    <w:rsid w:val="008D3AC6"/>
    <w:rsid w:val="008D4699"/>
    <w:rsid w:val="008D502C"/>
    <w:rsid w:val="008D5FC7"/>
    <w:rsid w:val="008D618E"/>
    <w:rsid w:val="008E0280"/>
    <w:rsid w:val="008E7993"/>
    <w:rsid w:val="008F7ECA"/>
    <w:rsid w:val="009035F8"/>
    <w:rsid w:val="00916920"/>
    <w:rsid w:val="00923948"/>
    <w:rsid w:val="009462EB"/>
    <w:rsid w:val="00946501"/>
    <w:rsid w:val="00950AEC"/>
    <w:rsid w:val="00951E72"/>
    <w:rsid w:val="009658F6"/>
    <w:rsid w:val="00967ED1"/>
    <w:rsid w:val="00970EC0"/>
    <w:rsid w:val="009710C3"/>
    <w:rsid w:val="00971B50"/>
    <w:rsid w:val="00974068"/>
    <w:rsid w:val="00986095"/>
    <w:rsid w:val="00986CFB"/>
    <w:rsid w:val="0098759A"/>
    <w:rsid w:val="00992CD5"/>
    <w:rsid w:val="00993C21"/>
    <w:rsid w:val="00995B8A"/>
    <w:rsid w:val="00995D8C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E6938"/>
    <w:rsid w:val="009F4A68"/>
    <w:rsid w:val="009F5040"/>
    <w:rsid w:val="009F5E83"/>
    <w:rsid w:val="00A11C58"/>
    <w:rsid w:val="00A12559"/>
    <w:rsid w:val="00A137AC"/>
    <w:rsid w:val="00A1634C"/>
    <w:rsid w:val="00A22516"/>
    <w:rsid w:val="00A312FE"/>
    <w:rsid w:val="00A31359"/>
    <w:rsid w:val="00A44347"/>
    <w:rsid w:val="00A47E44"/>
    <w:rsid w:val="00A50194"/>
    <w:rsid w:val="00A72AA1"/>
    <w:rsid w:val="00A84C25"/>
    <w:rsid w:val="00A90152"/>
    <w:rsid w:val="00AA1805"/>
    <w:rsid w:val="00AC2396"/>
    <w:rsid w:val="00AC3DC3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17EA0"/>
    <w:rsid w:val="00B2354A"/>
    <w:rsid w:val="00B242FD"/>
    <w:rsid w:val="00B32CDA"/>
    <w:rsid w:val="00B368DA"/>
    <w:rsid w:val="00B425B5"/>
    <w:rsid w:val="00B47F92"/>
    <w:rsid w:val="00B50ED6"/>
    <w:rsid w:val="00B51521"/>
    <w:rsid w:val="00B70365"/>
    <w:rsid w:val="00B720E1"/>
    <w:rsid w:val="00B827EF"/>
    <w:rsid w:val="00B87F5F"/>
    <w:rsid w:val="00B95238"/>
    <w:rsid w:val="00B9745A"/>
    <w:rsid w:val="00BA3173"/>
    <w:rsid w:val="00BA635F"/>
    <w:rsid w:val="00BB092A"/>
    <w:rsid w:val="00BB1DE6"/>
    <w:rsid w:val="00BB31AF"/>
    <w:rsid w:val="00BB3ADD"/>
    <w:rsid w:val="00BB5C6A"/>
    <w:rsid w:val="00BB686D"/>
    <w:rsid w:val="00BC3762"/>
    <w:rsid w:val="00BC5330"/>
    <w:rsid w:val="00BC7BD4"/>
    <w:rsid w:val="00BD427C"/>
    <w:rsid w:val="00BE1727"/>
    <w:rsid w:val="00BE1EA0"/>
    <w:rsid w:val="00BE3AC4"/>
    <w:rsid w:val="00BE5DF8"/>
    <w:rsid w:val="00BF342E"/>
    <w:rsid w:val="00BF445F"/>
    <w:rsid w:val="00BF5E74"/>
    <w:rsid w:val="00C055B6"/>
    <w:rsid w:val="00C117D9"/>
    <w:rsid w:val="00C16011"/>
    <w:rsid w:val="00C213F2"/>
    <w:rsid w:val="00C23305"/>
    <w:rsid w:val="00C236B5"/>
    <w:rsid w:val="00C35E0B"/>
    <w:rsid w:val="00C4246A"/>
    <w:rsid w:val="00C44E9D"/>
    <w:rsid w:val="00C47DB4"/>
    <w:rsid w:val="00C47F3A"/>
    <w:rsid w:val="00C526F3"/>
    <w:rsid w:val="00C55022"/>
    <w:rsid w:val="00C55B3E"/>
    <w:rsid w:val="00C565E9"/>
    <w:rsid w:val="00C57806"/>
    <w:rsid w:val="00C62784"/>
    <w:rsid w:val="00C6439E"/>
    <w:rsid w:val="00C71483"/>
    <w:rsid w:val="00C81A6F"/>
    <w:rsid w:val="00C838EC"/>
    <w:rsid w:val="00C83ED0"/>
    <w:rsid w:val="00C85150"/>
    <w:rsid w:val="00C87A2B"/>
    <w:rsid w:val="00C90EB6"/>
    <w:rsid w:val="00C9149C"/>
    <w:rsid w:val="00C930F6"/>
    <w:rsid w:val="00C95E1D"/>
    <w:rsid w:val="00C97FDB"/>
    <w:rsid w:val="00CA0424"/>
    <w:rsid w:val="00CA1A0D"/>
    <w:rsid w:val="00CA471F"/>
    <w:rsid w:val="00CB375C"/>
    <w:rsid w:val="00CC4B00"/>
    <w:rsid w:val="00CC624E"/>
    <w:rsid w:val="00CD2F81"/>
    <w:rsid w:val="00CE485B"/>
    <w:rsid w:val="00CE5A73"/>
    <w:rsid w:val="00CF3205"/>
    <w:rsid w:val="00CF3ECA"/>
    <w:rsid w:val="00CF4522"/>
    <w:rsid w:val="00D065EA"/>
    <w:rsid w:val="00D1109D"/>
    <w:rsid w:val="00D11B8C"/>
    <w:rsid w:val="00D16BEE"/>
    <w:rsid w:val="00D16E24"/>
    <w:rsid w:val="00D245BD"/>
    <w:rsid w:val="00D30BE9"/>
    <w:rsid w:val="00D35AE6"/>
    <w:rsid w:val="00D40880"/>
    <w:rsid w:val="00D40B64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ABC"/>
    <w:rsid w:val="00D6498F"/>
    <w:rsid w:val="00D65897"/>
    <w:rsid w:val="00D727CE"/>
    <w:rsid w:val="00D840A4"/>
    <w:rsid w:val="00D849F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2F8D"/>
    <w:rsid w:val="00DE5E8F"/>
    <w:rsid w:val="00DE78E4"/>
    <w:rsid w:val="00DF145D"/>
    <w:rsid w:val="00DF2115"/>
    <w:rsid w:val="00DF33D7"/>
    <w:rsid w:val="00E02597"/>
    <w:rsid w:val="00E02AEF"/>
    <w:rsid w:val="00E07989"/>
    <w:rsid w:val="00E1032C"/>
    <w:rsid w:val="00E130DE"/>
    <w:rsid w:val="00E2045F"/>
    <w:rsid w:val="00E2667B"/>
    <w:rsid w:val="00E26D2F"/>
    <w:rsid w:val="00E314F8"/>
    <w:rsid w:val="00E35041"/>
    <w:rsid w:val="00E52524"/>
    <w:rsid w:val="00E6285C"/>
    <w:rsid w:val="00E708E2"/>
    <w:rsid w:val="00E766C1"/>
    <w:rsid w:val="00E77E85"/>
    <w:rsid w:val="00E77EA6"/>
    <w:rsid w:val="00E803A2"/>
    <w:rsid w:val="00E8157E"/>
    <w:rsid w:val="00E92A88"/>
    <w:rsid w:val="00E94FC7"/>
    <w:rsid w:val="00EA1C5E"/>
    <w:rsid w:val="00EA7245"/>
    <w:rsid w:val="00EB2F59"/>
    <w:rsid w:val="00EB5F40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F46"/>
    <w:rsid w:val="00EF34B2"/>
    <w:rsid w:val="00EF7CD9"/>
    <w:rsid w:val="00F06C45"/>
    <w:rsid w:val="00F10764"/>
    <w:rsid w:val="00F24846"/>
    <w:rsid w:val="00F26423"/>
    <w:rsid w:val="00F33214"/>
    <w:rsid w:val="00F3597E"/>
    <w:rsid w:val="00F36267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08FB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5F4D"/>
    <w:rsid w:val="00FC6587"/>
    <w:rsid w:val="00FD139A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F8E71"/>
  <w15:docId w15:val="{7C85D3DF-1D21-4C07-AD73-E97AB04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Char">
    <w:name w:val="批注文字 Char"/>
    <w:rsid w:val="00DE2F8D"/>
    <w:rPr>
      <w:rFonts w:ascii="Calibri" w:eastAsia="宋体" w:hAnsi="Calibri" w:cs="Times New Roman"/>
      <w:sz w:val="22"/>
      <w:szCs w:val="22"/>
    </w:rPr>
  </w:style>
  <w:style w:type="paragraph" w:customStyle="1" w:styleId="abiaoge">
    <w:name w:val="a biaoge"/>
    <w:basedOn w:val="ae"/>
    <w:qFormat/>
    <w:rsid w:val="00DE2F8D"/>
    <w:pPr>
      <w:spacing w:line="0" w:lineRule="atLeast"/>
    </w:pPr>
    <w:rPr>
      <w:rFonts w:ascii="Times New Roman" w:eastAsia="宋体" w:hAnsi="Times New Roman" w:cs="Times New Roman"/>
      <w:szCs w:val="21"/>
    </w:rPr>
  </w:style>
  <w:style w:type="paragraph" w:styleId="ae">
    <w:name w:val="No Spacing"/>
    <w:uiPriority w:val="1"/>
    <w:qFormat/>
    <w:rsid w:val="00DE2F8D"/>
    <w:pPr>
      <w:widowControl w:val="0"/>
      <w:jc w:val="both"/>
    </w:pPr>
  </w:style>
  <w:style w:type="paragraph" w:customStyle="1" w:styleId="TableCellCenter">
    <w:name w:val="Table Cell Center"/>
    <w:basedOn w:val="a"/>
    <w:next w:val="a"/>
    <w:qFormat/>
    <w:rsid w:val="00676B95"/>
    <w:pPr>
      <w:keepNext/>
      <w:keepLines/>
      <w:widowControl/>
      <w:spacing w:before="50" w:after="50" w:line="240" w:lineRule="exact"/>
      <w:jc w:val="center"/>
    </w:pPr>
    <w:rPr>
      <w:rFonts w:ascii="Times New Roman" w:hAnsi="Times New Roman"/>
      <w:kern w:val="0"/>
      <w:sz w:val="20"/>
      <w:szCs w:val="20"/>
      <w:lang w:eastAsia="en-US"/>
    </w:rPr>
  </w:style>
  <w:style w:type="paragraph" w:customStyle="1" w:styleId="af">
    <w:name w:val="表格内容"/>
    <w:basedOn w:val="a"/>
    <w:link w:val="Char0"/>
    <w:qFormat/>
    <w:rsid w:val="00C44E9D"/>
    <w:pPr>
      <w:widowControl/>
      <w:jc w:val="center"/>
    </w:pPr>
    <w:rPr>
      <w:rFonts w:ascii="Times New Roman" w:eastAsia="宋体" w:hAnsi="Times New Roman" w:cs="Times New Roman"/>
      <w:color w:val="000000"/>
      <w:kern w:val="0"/>
      <w:szCs w:val="21"/>
    </w:rPr>
  </w:style>
  <w:style w:type="character" w:customStyle="1" w:styleId="Char0">
    <w:name w:val="表格内容 Char"/>
    <w:link w:val="af"/>
    <w:rsid w:val="00C44E9D"/>
    <w:rPr>
      <w:rFonts w:ascii="Times New Roman" w:eastAsia="宋体" w:hAnsi="Times New Roman" w:cs="Times New Roman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C873C-689C-4F5F-B290-50F7252E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tian</cp:lastModifiedBy>
  <cp:revision>35</cp:revision>
  <dcterms:created xsi:type="dcterms:W3CDTF">2019-05-28T05:55:00Z</dcterms:created>
  <dcterms:modified xsi:type="dcterms:W3CDTF">2021-12-27T09:13:00Z</dcterms:modified>
</cp:coreProperties>
</file>