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C9149C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9149C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C9149C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C9149C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C9149C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C9149C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C9149C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C9149C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C9149C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C9149C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C9149C" w:rsidRDefault="00967ED1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阿莫西林胶囊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C9149C" w:rsidRDefault="00967ED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/>
                <w:sz w:val="24"/>
                <w:szCs w:val="24"/>
              </w:rPr>
              <w:t>Amoxicillin Capsules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9149C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9149C" w:rsidRDefault="00C9149C" w:rsidP="00E77EA6">
            <w:pPr>
              <w:rPr>
                <w:rFonts w:ascii="Times New Roman" w:hAnsi="Times New Roman"/>
                <w:sz w:val="24"/>
                <w:szCs w:val="24"/>
              </w:rPr>
            </w:pPr>
            <w:r w:rsidRPr="00C9149C">
              <w:rPr>
                <w:rFonts w:ascii="Times New Roman" w:hAnsi="Times New Roman" w:hint="eastAsia"/>
                <w:sz w:val="24"/>
                <w:szCs w:val="24"/>
              </w:rPr>
              <w:t>按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C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16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H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19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N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O</w:t>
            </w:r>
            <w:r w:rsidRPr="00C9149C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C9149C">
              <w:rPr>
                <w:rFonts w:ascii="Times New Roman" w:hAnsi="Times New Roman" w:hint="eastAsia"/>
                <w:sz w:val="24"/>
                <w:szCs w:val="24"/>
              </w:rPr>
              <w:t>计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0.</w:t>
            </w:r>
            <w:r w:rsidR="00133E19">
              <w:rPr>
                <w:rFonts w:ascii="Times New Roman" w:hAnsi="Times New Roman"/>
                <w:sz w:val="24"/>
                <w:szCs w:val="24"/>
              </w:rPr>
              <w:t>1</w:t>
            </w:r>
            <w:r w:rsidRPr="00C9149C">
              <w:rPr>
                <w:rFonts w:ascii="Times New Roman" w:hAnsi="Times New Roman"/>
                <w:sz w:val="24"/>
                <w:szCs w:val="24"/>
              </w:rPr>
              <w:t>25g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吉林显锋科技制药有限公司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农安县</w:t>
            </w:r>
            <w:proofErr w:type="gramStart"/>
            <w:r w:rsidRPr="00E77EA6">
              <w:rPr>
                <w:rFonts w:ascii="Times New Roman" w:hAnsi="Times New Roman" w:hint="eastAsia"/>
                <w:sz w:val="24"/>
                <w:szCs w:val="24"/>
              </w:rPr>
              <w:t>显锋街</w:t>
            </w:r>
            <w:proofErr w:type="gramEnd"/>
            <w:r w:rsidRPr="00E77EA6">
              <w:rPr>
                <w:rFonts w:ascii="Times New Roman" w:hAnsi="Times New Roman"/>
                <w:sz w:val="24"/>
                <w:szCs w:val="24"/>
              </w:rPr>
              <w:t>9</w:t>
            </w:r>
            <w:r w:rsidRPr="00E77EA6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吉林显锋科技制药有限公司</w:t>
            </w:r>
          </w:p>
        </w:tc>
      </w:tr>
      <w:tr w:rsidR="00B11091" w:rsidRPr="00C9149C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77EA6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E77EA6" w:rsidRDefault="00E77EA6" w:rsidP="00133E19">
            <w:pPr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E77EA6">
              <w:rPr>
                <w:rFonts w:ascii="Times New Roman" w:hAnsi="Times New Roman"/>
                <w:sz w:val="24"/>
                <w:szCs w:val="24"/>
              </w:rPr>
              <w:t>H2007323</w:t>
            </w:r>
            <w:r w:rsidR="00133E1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11091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77EA6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E77EA6" w:rsidRDefault="00EA1C5E" w:rsidP="00185C48">
            <w:pPr>
              <w:rPr>
                <w:sz w:val="24"/>
                <w:lang w:val="zh-TW" w:bidi="sa-IN"/>
              </w:rPr>
            </w:pPr>
            <w:r w:rsidRPr="00E77EA6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B11091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77EA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E77EA6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E77EA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E77EA6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E77EA6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E77EA6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E77EA6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C44E9D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/>
                <w:sz w:val="24"/>
                <w:szCs w:val="24"/>
              </w:rPr>
              <w:t>20181001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吉林省药品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检验研究院</w:t>
            </w:r>
          </w:p>
        </w:tc>
      </w:tr>
      <w:tr w:rsidR="00B11C80" w:rsidRPr="00C9149C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44E9D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C44E9D" w:rsidRDefault="00C44E9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结果符合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规定</w:t>
            </w:r>
          </w:p>
        </w:tc>
      </w:tr>
      <w:tr w:rsidR="00B11091" w:rsidRPr="00C9149C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C44E9D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C44E9D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C44E9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C44E9D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C44E9D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C44E9D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C9149C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C44E9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B201800612-03</w:t>
            </w:r>
          </w:p>
        </w:tc>
      </w:tr>
      <w:tr w:rsidR="00B11091" w:rsidRPr="00C9149C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南京市第二医院</w:t>
            </w:r>
          </w:p>
        </w:tc>
      </w:tr>
      <w:tr w:rsidR="00B11091" w:rsidRPr="00C9149C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C9149C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C44E9D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C44E9D" w:rsidRDefault="00C44E9D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南京科利泰医药科技有限公司</w:t>
            </w:r>
          </w:p>
        </w:tc>
      </w:tr>
      <w:tr w:rsidR="00635EF5" w:rsidRPr="00C9149C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C44E9D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76B95" w:rsidRPr="00C44E9D" w:rsidRDefault="00C44E9D" w:rsidP="00676B95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/>
                <w:sz w:val="24"/>
                <w:szCs w:val="24"/>
              </w:rPr>
              <w:t>阿莫西林胶囊在健康受试者中随机、开放、单剂量、双周期、双交叉空腹和餐后状态下的生物等效性试验</w:t>
            </w:r>
          </w:p>
        </w:tc>
      </w:tr>
      <w:tr w:rsidR="008134A0" w:rsidRPr="00C9149C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C44E9D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C44E9D" w:rsidRDefault="00F26423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阿莫西林</w:t>
            </w:r>
          </w:p>
        </w:tc>
      </w:tr>
      <w:tr w:rsidR="0066279A" w:rsidRPr="00C9149C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C44E9D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44E9D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C44E9D" w:rsidRDefault="0066279A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="00057A00" w:rsidRPr="00C44E9D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133E19" w:rsidRPr="00C9149C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133E19" w:rsidRPr="00C44E9D" w:rsidRDefault="00133E19" w:rsidP="00133E1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r w:rsidRPr="00C44E9D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133E19" w:rsidRPr="00C44E9D" w:rsidRDefault="00133E19" w:rsidP="00133E19">
            <w:pPr>
              <w:rPr>
                <w:rFonts w:ascii="Times New Roman" w:hAnsi="Times New Roman"/>
                <w:sz w:val="24"/>
                <w:szCs w:val="24"/>
              </w:rPr>
            </w:pPr>
            <w:r w:rsidRPr="00BB5F6A"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/>
                <w:sz w:val="24"/>
                <w:szCs w:val="24"/>
              </w:rPr>
              <w:t>0.25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g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规格生物等效性研究豁免</w:t>
            </w:r>
            <w:r w:rsidRPr="00C44E9D">
              <w:rPr>
                <w:rFonts w:ascii="Times New Roman" w:hAnsi="Times New Roman" w:hint="eastAsia"/>
                <w:sz w:val="24"/>
                <w:szCs w:val="24"/>
              </w:rPr>
              <w:t>0.125</w:t>
            </w:r>
            <w:r w:rsidRPr="00C44E9D">
              <w:rPr>
                <w:rFonts w:ascii="Times New Roman" w:hAnsi="Times New Roman"/>
                <w:sz w:val="24"/>
                <w:szCs w:val="24"/>
              </w:rPr>
              <w:t>g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B5F6A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bookmarkEnd w:id="0"/>
    <w:p w:rsidR="00B11091" w:rsidRPr="00C44E9D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C44E9D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C44E9D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C44E9D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C44E9D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C44E9D">
        <w:rPr>
          <w:rFonts w:ascii="Times New Roman" w:hAnsi="Times New Roman" w:hint="eastAsia"/>
          <w:sz w:val="24"/>
          <w:szCs w:val="24"/>
        </w:rPr>
        <w:t>（</w:t>
      </w:r>
      <w:r w:rsidR="00DE2F8D" w:rsidRPr="00C44E9D">
        <w:rPr>
          <w:rFonts w:ascii="Times New Roman" w:hAnsi="Times New Roman"/>
          <w:sz w:val="24"/>
          <w:szCs w:val="24"/>
        </w:rPr>
        <w:t>0.</w:t>
      </w:r>
      <w:r w:rsidR="008F7ECA" w:rsidRPr="00C44E9D">
        <w:rPr>
          <w:rFonts w:ascii="Times New Roman" w:hAnsi="Times New Roman"/>
          <w:sz w:val="24"/>
          <w:szCs w:val="24"/>
        </w:rPr>
        <w:t>2</w:t>
      </w:r>
      <w:r w:rsidR="00DE2F8D" w:rsidRPr="00C44E9D">
        <w:rPr>
          <w:rFonts w:ascii="Times New Roman" w:hAnsi="Times New Roman"/>
          <w:sz w:val="24"/>
          <w:szCs w:val="24"/>
        </w:rPr>
        <w:t>5</w:t>
      </w:r>
      <w:r w:rsidR="006E68C9" w:rsidRPr="00C44E9D">
        <w:rPr>
          <w:rFonts w:ascii="Times New Roman" w:hAnsi="Times New Roman" w:hint="eastAsia"/>
          <w:sz w:val="24"/>
          <w:szCs w:val="24"/>
        </w:rPr>
        <w:t>g</w:t>
      </w:r>
      <w:r w:rsidR="006E68C9" w:rsidRPr="00C44E9D">
        <w:rPr>
          <w:rFonts w:ascii="Times New Roman" w:hAnsi="Times New Roman" w:hint="eastAsia"/>
          <w:sz w:val="24"/>
          <w:szCs w:val="24"/>
        </w:rPr>
        <w:t>规格</w:t>
      </w:r>
      <w:r w:rsidR="00587924" w:rsidRPr="00C44E9D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071"/>
        <w:gridCol w:w="1746"/>
        <w:gridCol w:w="1109"/>
        <w:gridCol w:w="1109"/>
        <w:gridCol w:w="1205"/>
        <w:gridCol w:w="1834"/>
      </w:tblGrid>
      <w:tr w:rsidR="00641826" w:rsidRPr="00C9149C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C9149C" w:rsidRDefault="00641826" w:rsidP="00676B9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26423" w:rsidRPr="00C44E9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676B95" w:rsidRPr="00C44E9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C9149C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C9149C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44E9D" w:rsidRPr="00C9149C" w:rsidTr="00C44E9D">
        <w:trPr>
          <w:trHeight w:val="457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vertAlign w:val="subscript"/>
              </w:rPr>
            </w:pPr>
            <w:proofErr w:type="spellStart"/>
            <w:r w:rsidRPr="00C44E9D">
              <w:t>C</w:t>
            </w:r>
            <w:r w:rsidRPr="00C44E9D">
              <w:rPr>
                <w:vertAlign w:val="subscript"/>
              </w:rPr>
              <w:t>max</w:t>
            </w:r>
            <w:proofErr w:type="spellEnd"/>
            <w:r w:rsidRPr="00C44E9D">
              <w:rPr>
                <w:vertAlign w:val="subscript"/>
              </w:rPr>
              <w:t xml:space="preserve"> </w:t>
            </w:r>
            <w:r w:rsidRPr="00C44E9D">
              <w:t>(ng/mL)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5394.09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5816.23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92.74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87.16%~98.68%</w:t>
            </w:r>
          </w:p>
        </w:tc>
      </w:tr>
      <w:tr w:rsidR="00C44E9D" w:rsidRPr="00C9149C" w:rsidTr="00C44E9D">
        <w:trPr>
          <w:trHeight w:val="488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0-t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13677.29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13744.49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99.51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96.39%~102.74%</w:t>
            </w:r>
          </w:p>
        </w:tc>
      </w:tr>
      <w:tr w:rsidR="00C44E9D" w:rsidRPr="00C9149C" w:rsidTr="00C44E9D">
        <w:trPr>
          <w:trHeight w:val="519"/>
          <w:jc w:val="center"/>
        </w:trPr>
        <w:tc>
          <w:tcPr>
            <w:tcW w:w="663" w:type="pct"/>
            <w:vMerge/>
          </w:tcPr>
          <w:p w:rsidR="00C44E9D" w:rsidRPr="00C9149C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0-∞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13912.29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13968.72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99.60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jc w:val="center"/>
            </w:pPr>
            <w:r w:rsidRPr="00C44E9D">
              <w:t>96.42%~102.88%</w:t>
            </w:r>
          </w:p>
        </w:tc>
      </w:tr>
      <w:tr w:rsidR="00641826" w:rsidRPr="00C44E9D" w:rsidTr="00E2667B">
        <w:trPr>
          <w:trHeight w:val="426"/>
          <w:jc w:val="center"/>
        </w:trPr>
        <w:tc>
          <w:tcPr>
            <w:tcW w:w="663" w:type="pct"/>
            <w:vMerge w:val="restart"/>
            <w:vAlign w:val="center"/>
          </w:tcPr>
          <w:p w:rsidR="00641826" w:rsidRPr="00C44E9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41826" w:rsidRPr="00C44E9D" w:rsidRDefault="00641826" w:rsidP="000569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F26423" w:rsidRPr="00C44E9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056948" w:rsidRPr="00C44E9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C44E9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081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20" w:type="pct"/>
            <w:gridSpan w:val="3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6" w:type="pct"/>
            <w:vMerge w:val="restar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C44E9D" w:rsidTr="00E2667B">
        <w:trPr>
          <w:trHeight w:val="426"/>
          <w:jc w:val="center"/>
        </w:trPr>
        <w:tc>
          <w:tcPr>
            <w:tcW w:w="663" w:type="pct"/>
            <w:vMerge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7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6" w:type="pct"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44E9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6" w:type="pct"/>
            <w:vMerge/>
            <w:vAlign w:val="center"/>
          </w:tcPr>
          <w:p w:rsidR="00641826" w:rsidRPr="00C44E9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44E9D" w:rsidRPr="00C44E9D" w:rsidTr="00C44E9D">
        <w:trPr>
          <w:trHeight w:val="457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vertAlign w:val="subscript"/>
              </w:rPr>
            </w:pPr>
            <w:proofErr w:type="spellStart"/>
            <w:r w:rsidRPr="00C44E9D">
              <w:t>C</w:t>
            </w:r>
            <w:r w:rsidRPr="00C44E9D">
              <w:rPr>
                <w:vertAlign w:val="subscript"/>
              </w:rPr>
              <w:t>max</w:t>
            </w:r>
            <w:proofErr w:type="spellEnd"/>
            <w:r w:rsidRPr="00C44E9D">
              <w:rPr>
                <w:vertAlign w:val="subscript"/>
              </w:rPr>
              <w:t xml:space="preserve"> </w:t>
            </w:r>
            <w:r w:rsidRPr="00C44E9D">
              <w:t>(ng/mL)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3613.78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3908.47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92.46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86.19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99.18%</w:t>
            </w:r>
          </w:p>
        </w:tc>
      </w:tr>
      <w:tr w:rsidR="00C44E9D" w:rsidRPr="00C44E9D" w:rsidTr="00C44E9D">
        <w:trPr>
          <w:trHeight w:val="488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0-t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12215.22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12544.96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97.37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93.45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101.45%</w:t>
            </w:r>
          </w:p>
        </w:tc>
      </w:tr>
      <w:tr w:rsidR="00C44E9D" w:rsidRPr="00C44E9D" w:rsidTr="00C44E9D">
        <w:trPr>
          <w:trHeight w:val="519"/>
          <w:jc w:val="center"/>
        </w:trPr>
        <w:tc>
          <w:tcPr>
            <w:tcW w:w="663" w:type="pct"/>
            <w:vMerge/>
          </w:tcPr>
          <w:p w:rsidR="00C44E9D" w:rsidRPr="00C44E9D" w:rsidRDefault="00C44E9D" w:rsidP="00C44E9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081" w:type="pct"/>
            <w:vAlign w:val="center"/>
          </w:tcPr>
          <w:p w:rsidR="00C44E9D" w:rsidRPr="00C44E9D" w:rsidRDefault="00C44E9D" w:rsidP="00C44E9D">
            <w:pPr>
              <w:pStyle w:val="af"/>
              <w:rPr>
                <w:lang w:val="de-DE"/>
              </w:rPr>
            </w:pPr>
            <w:r w:rsidRPr="00C44E9D">
              <w:rPr>
                <w:lang w:val="de-DE"/>
              </w:rPr>
              <w:t>AUC</w:t>
            </w:r>
            <w:r w:rsidRPr="00C44E9D">
              <w:rPr>
                <w:vertAlign w:val="subscript"/>
                <w:lang w:val="de-DE"/>
              </w:rPr>
              <w:t>0-∞</w:t>
            </w:r>
            <w:r w:rsidRPr="00C44E9D">
              <w:rPr>
                <w:lang w:val="de-DE"/>
              </w:rPr>
              <w:t xml:space="preserve"> (h·ng/mL)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13002.97</w:t>
            </w:r>
          </w:p>
        </w:tc>
        <w:tc>
          <w:tcPr>
            <w:tcW w:w="687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13273.63</w:t>
            </w:r>
          </w:p>
        </w:tc>
        <w:tc>
          <w:tcPr>
            <w:tcW w:w="74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97.96</w:t>
            </w:r>
          </w:p>
        </w:tc>
        <w:tc>
          <w:tcPr>
            <w:tcW w:w="1136" w:type="pct"/>
            <w:vAlign w:val="center"/>
          </w:tcPr>
          <w:p w:rsidR="00C44E9D" w:rsidRPr="00C44E9D" w:rsidRDefault="00C44E9D" w:rsidP="00C44E9D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color w:val="000000"/>
                <w:szCs w:val="21"/>
              </w:rPr>
            </w:pPr>
            <w:r w:rsidRPr="00C44E9D">
              <w:rPr>
                <w:color w:val="000000"/>
                <w:szCs w:val="21"/>
              </w:rPr>
              <w:t>94.54</w:t>
            </w:r>
            <w:r w:rsidRPr="00C44E9D">
              <w:t>%~</w:t>
            </w:r>
            <w:r w:rsidRPr="00C44E9D">
              <w:rPr>
                <w:color w:val="000000"/>
                <w:szCs w:val="21"/>
              </w:rPr>
              <w:t>101.51%</w:t>
            </w:r>
          </w:p>
        </w:tc>
      </w:tr>
    </w:tbl>
    <w:p w:rsidR="00B11091" w:rsidRPr="00C44E9D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44E9D">
        <w:rPr>
          <w:rFonts w:ascii="Times New Roman" w:hAnsi="Times New Roman" w:hint="eastAsia"/>
          <w:b/>
          <w:sz w:val="24"/>
          <w:szCs w:val="24"/>
        </w:rPr>
        <w:t>3.</w:t>
      </w:r>
      <w:r w:rsidRPr="00C44E9D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427F2E" w:rsidRDefault="00C44E9D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C44E9D">
        <w:rPr>
          <w:rFonts w:ascii="Times New Roman" w:hAnsi="Times New Roman" w:hint="eastAsia"/>
          <w:sz w:val="24"/>
          <w:szCs w:val="24"/>
        </w:rPr>
        <w:t>吉林显锋科技制药有限公司</w:t>
      </w:r>
      <w:r w:rsidR="007F1374" w:rsidRPr="00C44E9D">
        <w:rPr>
          <w:rFonts w:ascii="Times New Roman" w:hAnsi="Times New Roman" w:hint="eastAsia"/>
          <w:sz w:val="24"/>
          <w:szCs w:val="24"/>
        </w:rPr>
        <w:t>生产的</w:t>
      </w:r>
      <w:r w:rsidR="00F26423" w:rsidRPr="00C44E9D">
        <w:rPr>
          <w:rFonts w:ascii="Times New Roman" w:hAnsi="Times New Roman" w:hint="eastAsia"/>
          <w:sz w:val="24"/>
          <w:szCs w:val="24"/>
        </w:rPr>
        <w:t>阿莫西林胶囊</w:t>
      </w:r>
      <w:r w:rsidR="00E02597" w:rsidRPr="00C44E9D">
        <w:rPr>
          <w:rFonts w:ascii="Times New Roman" w:hAnsi="Times New Roman" w:hint="eastAsia"/>
          <w:sz w:val="24"/>
          <w:szCs w:val="24"/>
        </w:rPr>
        <w:t>通过</w:t>
      </w:r>
      <w:r w:rsidR="00825632" w:rsidRPr="00C44E9D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427F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194" w:rsidRDefault="000B5194" w:rsidP="00D45C81">
      <w:r>
        <w:separator/>
      </w:r>
    </w:p>
  </w:endnote>
  <w:endnote w:type="continuationSeparator" w:id="0">
    <w:p w:rsidR="000B5194" w:rsidRDefault="000B519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33E19" w:rsidRPr="00133E1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194" w:rsidRDefault="000B5194" w:rsidP="00D45C81">
      <w:r>
        <w:separator/>
      </w:r>
    </w:p>
  </w:footnote>
  <w:footnote w:type="continuationSeparator" w:id="0">
    <w:p w:rsidR="000B5194" w:rsidRDefault="000B519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1AAE"/>
    <w:rsid w:val="00052A6C"/>
    <w:rsid w:val="000566B2"/>
    <w:rsid w:val="00056948"/>
    <w:rsid w:val="00057A00"/>
    <w:rsid w:val="00066740"/>
    <w:rsid w:val="000676B7"/>
    <w:rsid w:val="00067BA5"/>
    <w:rsid w:val="000826CB"/>
    <w:rsid w:val="00086BAF"/>
    <w:rsid w:val="00087468"/>
    <w:rsid w:val="00093E39"/>
    <w:rsid w:val="000A05F8"/>
    <w:rsid w:val="000A64C5"/>
    <w:rsid w:val="000A6D15"/>
    <w:rsid w:val="000B5194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36E7"/>
    <w:rsid w:val="00117F5E"/>
    <w:rsid w:val="00130DB7"/>
    <w:rsid w:val="00133E19"/>
    <w:rsid w:val="001378A9"/>
    <w:rsid w:val="00142C4E"/>
    <w:rsid w:val="001460F9"/>
    <w:rsid w:val="0015186D"/>
    <w:rsid w:val="00156DB8"/>
    <w:rsid w:val="00162F3F"/>
    <w:rsid w:val="001634D2"/>
    <w:rsid w:val="001767C7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40B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27F2E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2AF5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6B95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1D37"/>
    <w:rsid w:val="00706C2F"/>
    <w:rsid w:val="00707F2C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16920"/>
    <w:rsid w:val="00923948"/>
    <w:rsid w:val="009462EB"/>
    <w:rsid w:val="00946501"/>
    <w:rsid w:val="00950AEC"/>
    <w:rsid w:val="00951E72"/>
    <w:rsid w:val="009658F6"/>
    <w:rsid w:val="00967ED1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727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4E9D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149C"/>
    <w:rsid w:val="00C930F6"/>
    <w:rsid w:val="00C95E1D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7390F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DF45AC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708E2"/>
    <w:rsid w:val="00E766C1"/>
    <w:rsid w:val="00E77E85"/>
    <w:rsid w:val="00E77EA6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26423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F4D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0079A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CellCenter">
    <w:name w:val="Table Cell Center"/>
    <w:basedOn w:val="a"/>
    <w:next w:val="a"/>
    <w:qFormat/>
    <w:rsid w:val="00676B95"/>
    <w:pPr>
      <w:keepNext/>
      <w:keepLines/>
      <w:widowControl/>
      <w:spacing w:before="50" w:after="50" w:line="240" w:lineRule="exact"/>
      <w:jc w:val="center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af">
    <w:name w:val="表格内容"/>
    <w:basedOn w:val="a"/>
    <w:link w:val="Char0"/>
    <w:qFormat/>
    <w:rsid w:val="00C44E9D"/>
    <w:pPr>
      <w:widowControl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f"/>
    <w:rsid w:val="00C44E9D"/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2717-CB92-4DCD-97CE-7BB18840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3</cp:revision>
  <dcterms:created xsi:type="dcterms:W3CDTF">2021-12-27T09:11:00Z</dcterms:created>
  <dcterms:modified xsi:type="dcterms:W3CDTF">2021-12-27T09:14:00Z</dcterms:modified>
</cp:coreProperties>
</file>