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3A5" w:rsidRPr="001530C6" w:rsidRDefault="006B371B" w:rsidP="006B371B">
      <w:pPr>
        <w:widowControl/>
        <w:jc w:val="center"/>
        <w:rPr>
          <w:rFonts w:asciiTheme="minorEastAsia" w:hAnsiTheme="minorEastAsia"/>
          <w:b/>
          <w:sz w:val="36"/>
          <w:szCs w:val="30"/>
        </w:rPr>
      </w:pPr>
      <w:r w:rsidRPr="001530C6">
        <w:rPr>
          <w:rFonts w:asciiTheme="minorEastAsia" w:hAnsiTheme="minorEastAsia" w:cs="微软雅黑" w:hint="eastAsia"/>
          <w:b/>
          <w:sz w:val="36"/>
          <w:szCs w:val="30"/>
        </w:rPr>
        <w:t>一致性评价</w:t>
      </w:r>
      <w:r w:rsidR="00587924" w:rsidRPr="001530C6">
        <w:rPr>
          <w:rFonts w:asciiTheme="minorEastAsia" w:hAnsiTheme="minorEastAsia" w:cs="微软雅黑" w:hint="eastAsia"/>
          <w:b/>
          <w:sz w:val="36"/>
          <w:szCs w:val="30"/>
        </w:rPr>
        <w:t>企业研究报告及生物等效性试验数据</w:t>
      </w:r>
    </w:p>
    <w:p w:rsidR="006B371B" w:rsidRPr="001530C6" w:rsidRDefault="00587924" w:rsidP="006B371B">
      <w:pPr>
        <w:widowControl/>
        <w:jc w:val="center"/>
        <w:rPr>
          <w:rFonts w:asciiTheme="minorEastAsia" w:hAnsiTheme="minorEastAsia"/>
          <w:b/>
          <w:sz w:val="36"/>
          <w:szCs w:val="30"/>
        </w:rPr>
      </w:pPr>
      <w:r w:rsidRPr="001530C6">
        <w:rPr>
          <w:rFonts w:asciiTheme="minorEastAsia" w:hAnsiTheme="minorEastAsia" w:cs="微软雅黑" w:hint="eastAsia"/>
          <w:b/>
          <w:sz w:val="36"/>
          <w:szCs w:val="30"/>
        </w:rPr>
        <w:t>信息公开</w:t>
      </w:r>
    </w:p>
    <w:p w:rsidR="008A03A5" w:rsidRPr="00F7673C" w:rsidRDefault="008A03A5" w:rsidP="006B371B">
      <w:pPr>
        <w:widowControl/>
        <w:jc w:val="center"/>
        <w:rPr>
          <w:rFonts w:asciiTheme="minorEastAsia" w:hAnsiTheme="minorEastAsia"/>
          <w:sz w:val="20"/>
          <w:szCs w:val="30"/>
        </w:rPr>
      </w:pPr>
    </w:p>
    <w:p w:rsidR="00825632" w:rsidRPr="00F7673C" w:rsidRDefault="00641826" w:rsidP="00587924">
      <w:pPr>
        <w:pStyle w:val="a8"/>
        <w:numPr>
          <w:ilvl w:val="0"/>
          <w:numId w:val="1"/>
        </w:numPr>
        <w:ind w:firstLineChars="0"/>
        <w:rPr>
          <w:rFonts w:asciiTheme="minorEastAsia" w:eastAsiaTheme="minorEastAsia" w:hAnsiTheme="minorEastAsia"/>
          <w:b/>
          <w:sz w:val="28"/>
          <w:szCs w:val="24"/>
        </w:rPr>
      </w:pPr>
      <w:r w:rsidRPr="00F7673C">
        <w:rPr>
          <w:rFonts w:asciiTheme="minorEastAsia" w:eastAsiaTheme="minorEastAsia" w:hAnsiTheme="minorEastAsia" w:hint="eastAsia"/>
          <w:b/>
          <w:sz w:val="28"/>
          <w:szCs w:val="24"/>
        </w:rPr>
        <w:t>基本情况</w:t>
      </w:r>
      <w:r w:rsidR="00587924" w:rsidRPr="00F7673C">
        <w:rPr>
          <w:rFonts w:asciiTheme="minorEastAsia" w:eastAsiaTheme="minorEastAsia" w:hAnsiTheme="minorEastAsia" w:hint="eastAsia"/>
          <w:b/>
          <w:sz w:val="28"/>
          <w:szCs w:val="24"/>
        </w:rPr>
        <w:t>汇总</w:t>
      </w:r>
      <w:r w:rsidR="00587924" w:rsidRPr="00F7673C">
        <w:rPr>
          <w:rFonts w:asciiTheme="minorEastAsia" w:eastAsiaTheme="minorEastAsia" w:hAnsiTheme="minorEastAsia"/>
          <w:b/>
          <w:sz w:val="28"/>
          <w:szCs w:val="24"/>
        </w:rPr>
        <w:t>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00"/>
        <w:gridCol w:w="5190"/>
      </w:tblGrid>
      <w:tr w:rsidR="00B11091" w:rsidRPr="00F7673C" w:rsidTr="009958B1">
        <w:trPr>
          <w:trHeight w:val="454"/>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通用名</w:t>
            </w:r>
          </w:p>
        </w:tc>
        <w:tc>
          <w:tcPr>
            <w:tcW w:w="3130" w:type="pct"/>
            <w:vAlign w:val="center"/>
          </w:tcPr>
          <w:p w:rsidR="00B11091" w:rsidRPr="00F7673C" w:rsidRDefault="00D70300" w:rsidP="0074751F">
            <w:pPr>
              <w:ind w:firstLineChars="50" w:firstLine="120"/>
              <w:rPr>
                <w:rFonts w:asciiTheme="minorEastAsia" w:hAnsiTheme="minorEastAsia"/>
                <w:sz w:val="24"/>
                <w:szCs w:val="24"/>
              </w:rPr>
            </w:pPr>
            <w:r w:rsidRPr="00D70300">
              <w:rPr>
                <w:rFonts w:asciiTheme="minorEastAsia" w:hAnsiTheme="minorEastAsia" w:hint="eastAsia"/>
                <w:sz w:val="24"/>
                <w:szCs w:val="24"/>
              </w:rPr>
              <w:t>熊去氧胆酸片</w:t>
            </w:r>
          </w:p>
        </w:tc>
      </w:tr>
      <w:tr w:rsidR="00B11091" w:rsidRPr="00F7673C" w:rsidTr="009958B1">
        <w:trPr>
          <w:trHeight w:val="454"/>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英文名</w:t>
            </w:r>
          </w:p>
        </w:tc>
        <w:tc>
          <w:tcPr>
            <w:tcW w:w="3130" w:type="pct"/>
            <w:vAlign w:val="center"/>
          </w:tcPr>
          <w:p w:rsidR="00B11091" w:rsidRPr="002A6857" w:rsidRDefault="00D70300" w:rsidP="0074751F">
            <w:pPr>
              <w:ind w:firstLineChars="50" w:firstLine="120"/>
              <w:rPr>
                <w:rFonts w:ascii="Times New Roman" w:hAnsi="Times New Roman" w:cs="Times New Roman"/>
                <w:sz w:val="24"/>
                <w:szCs w:val="24"/>
              </w:rPr>
            </w:pPr>
            <w:proofErr w:type="spellStart"/>
            <w:r w:rsidRPr="00D70300">
              <w:rPr>
                <w:rFonts w:ascii="Times New Roman" w:hAnsi="Times New Roman" w:cs="Times New Roman"/>
                <w:sz w:val="24"/>
                <w:szCs w:val="24"/>
              </w:rPr>
              <w:t>Ursodeoxycholic</w:t>
            </w:r>
            <w:proofErr w:type="spellEnd"/>
            <w:r w:rsidRPr="00D70300">
              <w:rPr>
                <w:rFonts w:ascii="Times New Roman" w:hAnsi="Times New Roman" w:cs="Times New Roman"/>
                <w:sz w:val="24"/>
                <w:szCs w:val="24"/>
              </w:rPr>
              <w:t xml:space="preserve"> acid</w:t>
            </w:r>
            <w:r w:rsidR="009868E6" w:rsidRPr="009868E6">
              <w:rPr>
                <w:rFonts w:ascii="Times New Roman" w:hAnsi="Times New Roman" w:cs="Times New Roman"/>
                <w:sz w:val="24"/>
                <w:szCs w:val="24"/>
              </w:rPr>
              <w:t xml:space="preserve"> Tablets</w:t>
            </w:r>
          </w:p>
        </w:tc>
      </w:tr>
      <w:tr w:rsidR="00B11091" w:rsidRPr="00F7673C" w:rsidTr="009958B1">
        <w:trPr>
          <w:trHeight w:val="454"/>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剂型及规格</w:t>
            </w:r>
          </w:p>
        </w:tc>
        <w:tc>
          <w:tcPr>
            <w:tcW w:w="3130" w:type="pct"/>
            <w:vAlign w:val="center"/>
          </w:tcPr>
          <w:p w:rsidR="00B11091" w:rsidRPr="002A6857" w:rsidRDefault="009868E6" w:rsidP="00D84DB5">
            <w:pPr>
              <w:ind w:firstLineChars="50" w:firstLine="120"/>
              <w:rPr>
                <w:rFonts w:ascii="Times New Roman" w:hAnsi="Times New Roman" w:cs="Times New Roman"/>
                <w:sz w:val="24"/>
                <w:szCs w:val="24"/>
              </w:rPr>
            </w:pPr>
            <w:r>
              <w:rPr>
                <w:rFonts w:ascii="Times New Roman" w:hAnsi="Times New Roman" w:cs="Times New Roman" w:hint="eastAsia"/>
                <w:sz w:val="24"/>
                <w:szCs w:val="24"/>
              </w:rPr>
              <w:t>片</w:t>
            </w:r>
            <w:r w:rsidR="001530C6">
              <w:rPr>
                <w:rFonts w:ascii="Times New Roman" w:hAnsi="Times New Roman" w:cs="Times New Roman"/>
                <w:sz w:val="24"/>
                <w:szCs w:val="24"/>
              </w:rPr>
              <w:t>剂</w:t>
            </w:r>
            <w:r w:rsidR="005A67A6">
              <w:rPr>
                <w:rFonts w:ascii="Times New Roman" w:hAnsi="Times New Roman" w:cs="Times New Roman"/>
                <w:sz w:val="24"/>
                <w:szCs w:val="24"/>
              </w:rPr>
              <w:t xml:space="preserve">  </w:t>
            </w:r>
            <w:r w:rsidR="00C60AAA" w:rsidRPr="002A6857">
              <w:rPr>
                <w:rFonts w:ascii="Times New Roman" w:hAnsi="Times New Roman" w:cs="Times New Roman"/>
                <w:sz w:val="24"/>
                <w:szCs w:val="24"/>
              </w:rPr>
              <w:t>规格</w:t>
            </w:r>
            <w:r w:rsidR="00D84DB5">
              <w:rPr>
                <w:rFonts w:ascii="Times New Roman" w:hAnsi="Times New Roman" w:cs="Times New Roman"/>
                <w:sz w:val="24"/>
                <w:szCs w:val="24"/>
              </w:rPr>
              <w:t>0.25</w:t>
            </w:r>
            <w:r>
              <w:rPr>
                <w:rFonts w:ascii="Times New Roman" w:hAnsi="Times New Roman" w:cs="Times New Roman"/>
                <w:sz w:val="24"/>
                <w:szCs w:val="24"/>
              </w:rPr>
              <w:t>g</w:t>
            </w:r>
          </w:p>
        </w:tc>
      </w:tr>
      <w:tr w:rsidR="00B11091" w:rsidRPr="00F7673C" w:rsidTr="009958B1">
        <w:trPr>
          <w:trHeight w:val="454"/>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生产企业名称</w:t>
            </w:r>
          </w:p>
        </w:tc>
        <w:tc>
          <w:tcPr>
            <w:tcW w:w="3130" w:type="pct"/>
            <w:vAlign w:val="center"/>
          </w:tcPr>
          <w:p w:rsidR="00B11091" w:rsidRPr="00A146F1" w:rsidRDefault="00D70300" w:rsidP="0074751F">
            <w:pPr>
              <w:ind w:firstLineChars="50" w:firstLine="120"/>
              <w:rPr>
                <w:rFonts w:ascii="Times New Roman" w:hAnsi="Times New Roman" w:cs="Times New Roman"/>
                <w:sz w:val="24"/>
                <w:szCs w:val="24"/>
              </w:rPr>
            </w:pPr>
            <w:r>
              <w:rPr>
                <w:rFonts w:ascii="Times New Roman" w:hAnsi="Times New Roman" w:cs="Times New Roman" w:hint="eastAsia"/>
                <w:sz w:val="24"/>
                <w:szCs w:val="24"/>
              </w:rPr>
              <w:t>武</w:t>
            </w:r>
            <w:r w:rsidRPr="00D70300">
              <w:rPr>
                <w:rFonts w:ascii="Times New Roman" w:hAnsi="Times New Roman" w:cs="Times New Roman" w:hint="eastAsia"/>
                <w:sz w:val="24"/>
                <w:szCs w:val="24"/>
              </w:rPr>
              <w:t>汉普元药业有限责任公司</w:t>
            </w:r>
          </w:p>
        </w:tc>
      </w:tr>
      <w:tr w:rsidR="00B11091" w:rsidRPr="00F7673C" w:rsidTr="009958B1">
        <w:trPr>
          <w:trHeight w:val="454"/>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生产企业地址</w:t>
            </w:r>
          </w:p>
        </w:tc>
        <w:tc>
          <w:tcPr>
            <w:tcW w:w="3130" w:type="pct"/>
            <w:vAlign w:val="center"/>
          </w:tcPr>
          <w:p w:rsidR="00B11091" w:rsidRPr="00F7673C" w:rsidRDefault="00D70300" w:rsidP="0074751F">
            <w:pPr>
              <w:ind w:firstLineChars="50" w:firstLine="120"/>
              <w:rPr>
                <w:rFonts w:asciiTheme="minorEastAsia" w:hAnsiTheme="minorEastAsia"/>
                <w:sz w:val="24"/>
                <w:szCs w:val="24"/>
              </w:rPr>
            </w:pPr>
            <w:r w:rsidRPr="00D70300">
              <w:rPr>
                <w:rFonts w:ascii="Times New Roman" w:hAnsi="Times New Roman" w:cs="Times New Roman" w:hint="eastAsia"/>
                <w:sz w:val="24"/>
                <w:szCs w:val="24"/>
              </w:rPr>
              <w:t>湖北省武汉市东湖新技术开发区黄龙山二路</w:t>
            </w:r>
            <w:r w:rsidRPr="00D70300">
              <w:rPr>
                <w:rFonts w:ascii="Times New Roman" w:hAnsi="Times New Roman" w:cs="Times New Roman" w:hint="eastAsia"/>
                <w:sz w:val="24"/>
                <w:szCs w:val="24"/>
              </w:rPr>
              <w:t>2</w:t>
            </w:r>
            <w:r w:rsidRPr="00D70300">
              <w:rPr>
                <w:rFonts w:ascii="Times New Roman" w:hAnsi="Times New Roman" w:cs="Times New Roman" w:hint="eastAsia"/>
                <w:sz w:val="24"/>
                <w:szCs w:val="24"/>
              </w:rPr>
              <w:t>号</w:t>
            </w:r>
          </w:p>
        </w:tc>
      </w:tr>
      <w:tr w:rsidR="00B11091" w:rsidRPr="00F7673C" w:rsidTr="009958B1">
        <w:trPr>
          <w:trHeight w:val="454"/>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上市许可持有人</w:t>
            </w:r>
          </w:p>
        </w:tc>
        <w:tc>
          <w:tcPr>
            <w:tcW w:w="3130" w:type="pct"/>
            <w:vAlign w:val="center"/>
          </w:tcPr>
          <w:p w:rsidR="00B11091" w:rsidRPr="00F7673C" w:rsidRDefault="00D70300" w:rsidP="00A146F1">
            <w:pPr>
              <w:ind w:firstLineChars="50" w:firstLine="120"/>
              <w:rPr>
                <w:rFonts w:asciiTheme="minorEastAsia" w:hAnsiTheme="minorEastAsia"/>
                <w:sz w:val="24"/>
                <w:szCs w:val="24"/>
              </w:rPr>
            </w:pPr>
            <w:r w:rsidRPr="00D70300">
              <w:rPr>
                <w:rFonts w:asciiTheme="minorEastAsia" w:hAnsiTheme="minorEastAsia" w:hint="eastAsia"/>
                <w:sz w:val="24"/>
                <w:szCs w:val="24"/>
              </w:rPr>
              <w:t>武汉普元药业有限责任公司</w:t>
            </w:r>
          </w:p>
        </w:tc>
      </w:tr>
      <w:tr w:rsidR="00B11091" w:rsidRPr="00F7673C" w:rsidTr="009958B1">
        <w:trPr>
          <w:trHeight w:val="454"/>
          <w:jc w:val="center"/>
        </w:trPr>
        <w:tc>
          <w:tcPr>
            <w:tcW w:w="1870" w:type="pct"/>
            <w:vAlign w:val="center"/>
          </w:tcPr>
          <w:p w:rsidR="00B11091" w:rsidRPr="00A4245B" w:rsidRDefault="008A03A5" w:rsidP="00185C48">
            <w:pPr>
              <w:jc w:val="right"/>
              <w:rPr>
                <w:rFonts w:ascii="Times New Roman" w:hAnsi="Times New Roman" w:cs="Times New Roman"/>
                <w:sz w:val="24"/>
                <w:szCs w:val="24"/>
              </w:rPr>
            </w:pPr>
            <w:r w:rsidRPr="00A4245B">
              <w:rPr>
                <w:rFonts w:ascii="Times New Roman" w:hAnsi="Times New Roman" w:cs="Times New Roman"/>
                <w:sz w:val="24"/>
                <w:szCs w:val="24"/>
              </w:rPr>
              <w:t>最新</w:t>
            </w:r>
            <w:r w:rsidR="00B11091" w:rsidRPr="00A4245B">
              <w:rPr>
                <w:rFonts w:ascii="Times New Roman" w:hAnsi="Times New Roman" w:cs="Times New Roman"/>
                <w:sz w:val="24"/>
                <w:szCs w:val="24"/>
              </w:rPr>
              <w:t>批准文号</w:t>
            </w:r>
          </w:p>
        </w:tc>
        <w:tc>
          <w:tcPr>
            <w:tcW w:w="3130" w:type="pct"/>
            <w:vAlign w:val="center"/>
          </w:tcPr>
          <w:p w:rsidR="00B11091" w:rsidRPr="00A4245B" w:rsidRDefault="009868E6" w:rsidP="00707231">
            <w:pPr>
              <w:ind w:firstLineChars="50" w:firstLine="120"/>
              <w:rPr>
                <w:rFonts w:ascii="Times New Roman" w:hAnsi="Times New Roman" w:cs="Times New Roman"/>
                <w:sz w:val="24"/>
                <w:szCs w:val="24"/>
              </w:rPr>
            </w:pPr>
            <w:r w:rsidRPr="00A4245B">
              <w:rPr>
                <w:rFonts w:ascii="Times New Roman" w:hAnsi="Times New Roman" w:cs="Times New Roman" w:hint="eastAsia"/>
                <w:sz w:val="24"/>
                <w:szCs w:val="24"/>
              </w:rPr>
              <w:t>国药准字</w:t>
            </w:r>
            <w:r w:rsidR="00D70300" w:rsidRPr="00D70300">
              <w:rPr>
                <w:rFonts w:ascii="Times New Roman" w:hAnsi="Times New Roman" w:cs="Times New Roman"/>
                <w:sz w:val="24"/>
                <w:szCs w:val="24"/>
              </w:rPr>
              <w:t>H20123209</w:t>
            </w:r>
          </w:p>
        </w:tc>
      </w:tr>
      <w:tr w:rsidR="00B11091" w:rsidRPr="00F7673C" w:rsidTr="009958B1">
        <w:trPr>
          <w:trHeight w:val="454"/>
          <w:jc w:val="center"/>
        </w:trPr>
        <w:tc>
          <w:tcPr>
            <w:tcW w:w="1870" w:type="pct"/>
            <w:vAlign w:val="center"/>
          </w:tcPr>
          <w:p w:rsidR="00B11091" w:rsidRPr="00F7673C" w:rsidRDefault="00D65897" w:rsidP="00185C48">
            <w:pPr>
              <w:jc w:val="right"/>
              <w:rPr>
                <w:rFonts w:asciiTheme="minorEastAsia" w:hAnsiTheme="minorEastAsia"/>
                <w:sz w:val="24"/>
                <w:szCs w:val="24"/>
              </w:rPr>
            </w:pPr>
            <w:r w:rsidRPr="00F7673C">
              <w:rPr>
                <w:rFonts w:asciiTheme="minorEastAsia" w:hAnsiTheme="minorEastAsia" w:hint="eastAsia"/>
                <w:sz w:val="24"/>
                <w:szCs w:val="24"/>
              </w:rPr>
              <w:t>其它</w:t>
            </w:r>
            <w:r w:rsidR="00B11091" w:rsidRPr="00F7673C">
              <w:rPr>
                <w:rFonts w:asciiTheme="minorEastAsia" w:hAnsiTheme="minorEastAsia" w:hint="eastAsia"/>
                <w:sz w:val="24"/>
                <w:szCs w:val="24"/>
              </w:rPr>
              <w:t>上市国家及上市时间</w:t>
            </w:r>
          </w:p>
        </w:tc>
        <w:tc>
          <w:tcPr>
            <w:tcW w:w="3130" w:type="pct"/>
            <w:vAlign w:val="center"/>
          </w:tcPr>
          <w:p w:rsidR="00B11091" w:rsidRPr="00F7673C" w:rsidRDefault="00A165D6" w:rsidP="00802FDB">
            <w:pPr>
              <w:ind w:firstLineChars="50" w:firstLine="120"/>
              <w:rPr>
                <w:rFonts w:asciiTheme="minorEastAsia" w:hAnsiTheme="minorEastAsia"/>
                <w:sz w:val="24"/>
                <w:szCs w:val="24"/>
              </w:rPr>
            </w:pPr>
            <w:r w:rsidRPr="00802FDB">
              <w:rPr>
                <w:rFonts w:ascii="Times New Roman" w:hAnsi="Times New Roman" w:cs="Times New Roman" w:hint="eastAsia"/>
                <w:sz w:val="24"/>
                <w:szCs w:val="24"/>
              </w:rPr>
              <w:t>不</w:t>
            </w:r>
            <w:r w:rsidR="00B11091" w:rsidRPr="00802FDB">
              <w:rPr>
                <w:rFonts w:ascii="Times New Roman" w:hAnsi="Times New Roman" w:cs="Times New Roman" w:hint="eastAsia"/>
                <w:sz w:val="24"/>
                <w:szCs w:val="24"/>
              </w:rPr>
              <w:t>适用</w:t>
            </w:r>
          </w:p>
        </w:tc>
      </w:tr>
      <w:tr w:rsidR="00B11091" w:rsidRPr="00F7673C" w:rsidTr="00C17F6D">
        <w:trPr>
          <w:trHeight w:val="445"/>
          <w:jc w:val="center"/>
        </w:trPr>
        <w:tc>
          <w:tcPr>
            <w:tcW w:w="1870" w:type="pct"/>
            <w:vAlign w:val="center"/>
          </w:tcPr>
          <w:p w:rsidR="00B11091" w:rsidRPr="00F7673C" w:rsidRDefault="00B11091" w:rsidP="00185C48">
            <w:pPr>
              <w:jc w:val="right"/>
              <w:rPr>
                <w:rFonts w:asciiTheme="minorEastAsia" w:hAnsiTheme="minorEastAsia"/>
                <w:sz w:val="24"/>
                <w:szCs w:val="24"/>
              </w:rPr>
            </w:pPr>
            <w:r w:rsidRPr="00F7673C">
              <w:rPr>
                <w:rFonts w:asciiTheme="minorEastAsia" w:hAnsiTheme="minorEastAsia" w:hint="eastAsia"/>
                <w:sz w:val="24"/>
                <w:szCs w:val="24"/>
              </w:rPr>
              <w:t>附加申请</w:t>
            </w:r>
          </w:p>
        </w:tc>
        <w:tc>
          <w:tcPr>
            <w:tcW w:w="3130" w:type="pct"/>
            <w:vAlign w:val="center"/>
          </w:tcPr>
          <w:p w:rsidR="00B11091" w:rsidRPr="00F7673C" w:rsidRDefault="005957C6" w:rsidP="00D91CF3">
            <w:pPr>
              <w:ind w:firstLineChars="100" w:firstLine="240"/>
              <w:rPr>
                <w:rFonts w:asciiTheme="minorEastAsia" w:hAnsiTheme="minorEastAsia"/>
                <w:sz w:val="24"/>
                <w:szCs w:val="24"/>
              </w:rPr>
            </w:pPr>
            <w:r w:rsidRPr="00F7673C">
              <w:rPr>
                <w:rFonts w:asciiTheme="minorEastAsia" w:hAnsiTheme="minorEastAsia" w:hint="eastAsia"/>
                <w:sz w:val="24"/>
                <w:szCs w:val="24"/>
              </w:rPr>
              <w:t>■</w:t>
            </w:r>
            <w:r w:rsidR="00B11091" w:rsidRPr="00F7673C">
              <w:rPr>
                <w:rFonts w:asciiTheme="minorEastAsia" w:hAnsiTheme="minorEastAsia" w:hint="eastAsia"/>
                <w:sz w:val="24"/>
                <w:szCs w:val="24"/>
              </w:rPr>
              <w:t xml:space="preserve">有工艺变更 </w:t>
            </w:r>
          </w:p>
          <w:p w:rsidR="00B11091" w:rsidRPr="00F7673C" w:rsidRDefault="00B11091" w:rsidP="00D91CF3">
            <w:pPr>
              <w:ind w:firstLineChars="100" w:firstLine="240"/>
              <w:rPr>
                <w:rFonts w:asciiTheme="minorEastAsia" w:hAnsiTheme="minorEastAsia"/>
                <w:sz w:val="24"/>
                <w:szCs w:val="24"/>
              </w:rPr>
            </w:pPr>
            <w:r w:rsidRPr="00F7673C">
              <w:rPr>
                <w:rFonts w:asciiTheme="minorEastAsia" w:hAnsiTheme="minorEastAsia" w:hint="eastAsia"/>
                <w:sz w:val="24"/>
                <w:szCs w:val="24"/>
              </w:rPr>
              <w:t>□无工艺变更</w:t>
            </w:r>
          </w:p>
          <w:p w:rsidR="00B11091" w:rsidRPr="00F7673C" w:rsidRDefault="00B11091" w:rsidP="00D65897">
            <w:pPr>
              <w:ind w:firstLineChars="100" w:firstLine="240"/>
              <w:rPr>
                <w:rFonts w:asciiTheme="minorEastAsia" w:hAnsiTheme="minorEastAsia"/>
                <w:b/>
                <w:sz w:val="24"/>
                <w:szCs w:val="24"/>
              </w:rPr>
            </w:pPr>
            <w:r w:rsidRPr="00F7673C">
              <w:rPr>
                <w:rFonts w:asciiTheme="minorEastAsia" w:hAnsiTheme="minorEastAsia" w:hint="eastAsia"/>
                <w:sz w:val="24"/>
                <w:szCs w:val="24"/>
              </w:rPr>
              <w:t>□其</w:t>
            </w:r>
            <w:r w:rsidR="00D65897" w:rsidRPr="00F7673C">
              <w:rPr>
                <w:rFonts w:asciiTheme="minorEastAsia" w:hAnsiTheme="minorEastAsia" w:hint="eastAsia"/>
                <w:sz w:val="24"/>
                <w:szCs w:val="24"/>
              </w:rPr>
              <w:t>它</w:t>
            </w:r>
          </w:p>
        </w:tc>
      </w:tr>
      <w:tr w:rsidR="00B11C80" w:rsidRPr="00F7673C" w:rsidTr="00BA2779">
        <w:trPr>
          <w:trHeight w:val="397"/>
          <w:jc w:val="center"/>
        </w:trPr>
        <w:tc>
          <w:tcPr>
            <w:tcW w:w="1870" w:type="pct"/>
            <w:vAlign w:val="center"/>
          </w:tcPr>
          <w:p w:rsidR="00B11C80" w:rsidRPr="002A6857" w:rsidRDefault="00A165D6" w:rsidP="00185C48">
            <w:pPr>
              <w:jc w:val="right"/>
              <w:rPr>
                <w:rFonts w:ascii="Times New Roman" w:hAnsi="Times New Roman" w:cs="Times New Roman"/>
                <w:sz w:val="24"/>
                <w:szCs w:val="24"/>
              </w:rPr>
            </w:pPr>
            <w:r>
              <w:rPr>
                <w:rFonts w:ascii="Times New Roman" w:hAnsi="Times New Roman" w:cs="Times New Roman" w:hint="eastAsia"/>
                <w:sz w:val="24"/>
                <w:szCs w:val="24"/>
              </w:rPr>
              <w:t>BE</w:t>
            </w:r>
            <w:r w:rsidR="00B11C80" w:rsidRPr="002A6857">
              <w:rPr>
                <w:rFonts w:ascii="Times New Roman" w:hAnsi="Times New Roman" w:cs="Times New Roman"/>
                <w:sz w:val="24"/>
                <w:szCs w:val="24"/>
              </w:rPr>
              <w:t>供试样品批号</w:t>
            </w:r>
          </w:p>
        </w:tc>
        <w:tc>
          <w:tcPr>
            <w:tcW w:w="3130" w:type="pct"/>
            <w:vAlign w:val="center"/>
          </w:tcPr>
          <w:p w:rsidR="00B11C80" w:rsidRPr="002A6857" w:rsidRDefault="00D70300" w:rsidP="00D70300">
            <w:pPr>
              <w:ind w:firstLineChars="100" w:firstLine="240"/>
              <w:rPr>
                <w:rFonts w:ascii="Times New Roman" w:hAnsi="Times New Roman" w:cs="Times New Roman"/>
                <w:sz w:val="24"/>
                <w:szCs w:val="24"/>
              </w:rPr>
            </w:pPr>
            <w:r w:rsidRPr="00D70300">
              <w:rPr>
                <w:rFonts w:ascii="Times New Roman" w:hAnsi="Times New Roman" w:cs="Times New Roman"/>
                <w:sz w:val="24"/>
                <w:szCs w:val="24"/>
              </w:rPr>
              <w:t>4200402</w:t>
            </w:r>
          </w:p>
        </w:tc>
      </w:tr>
      <w:tr w:rsidR="00B11C80" w:rsidRPr="00F7673C" w:rsidTr="009958B1">
        <w:trPr>
          <w:trHeight w:val="454"/>
          <w:jc w:val="center"/>
        </w:trPr>
        <w:tc>
          <w:tcPr>
            <w:tcW w:w="1870" w:type="pct"/>
            <w:vAlign w:val="center"/>
          </w:tcPr>
          <w:p w:rsidR="00B11C80" w:rsidRPr="00640162" w:rsidRDefault="00B11C80" w:rsidP="00185C48">
            <w:pPr>
              <w:jc w:val="right"/>
              <w:rPr>
                <w:rFonts w:asciiTheme="minorEastAsia" w:hAnsiTheme="minorEastAsia"/>
                <w:sz w:val="24"/>
                <w:szCs w:val="24"/>
              </w:rPr>
            </w:pPr>
            <w:r w:rsidRPr="00640162">
              <w:rPr>
                <w:rFonts w:asciiTheme="minorEastAsia" w:hAnsiTheme="minorEastAsia" w:hint="eastAsia"/>
                <w:sz w:val="24"/>
                <w:szCs w:val="24"/>
              </w:rPr>
              <w:t>检验机构</w:t>
            </w:r>
          </w:p>
        </w:tc>
        <w:tc>
          <w:tcPr>
            <w:tcW w:w="3130" w:type="pct"/>
            <w:vAlign w:val="center"/>
          </w:tcPr>
          <w:p w:rsidR="00B11C80" w:rsidRPr="0074751F" w:rsidRDefault="00D70300" w:rsidP="00B44C20">
            <w:pPr>
              <w:ind w:firstLineChars="100" w:firstLine="240"/>
              <w:rPr>
                <w:rFonts w:asciiTheme="minorEastAsia" w:hAnsiTheme="minorEastAsia"/>
                <w:sz w:val="24"/>
                <w:szCs w:val="24"/>
                <w:highlight w:val="yellow"/>
              </w:rPr>
            </w:pPr>
            <w:r w:rsidRPr="00D70300">
              <w:rPr>
                <w:rFonts w:ascii="Times New Roman" w:hAnsi="Times New Roman" w:cs="Times New Roman" w:hint="eastAsia"/>
                <w:sz w:val="24"/>
                <w:szCs w:val="24"/>
              </w:rPr>
              <w:t>武汉普元药业有限责任公司</w:t>
            </w:r>
          </w:p>
        </w:tc>
      </w:tr>
      <w:tr w:rsidR="00B11C80" w:rsidRPr="00F7673C" w:rsidTr="009958B1">
        <w:trPr>
          <w:trHeight w:val="454"/>
          <w:jc w:val="center"/>
        </w:trPr>
        <w:tc>
          <w:tcPr>
            <w:tcW w:w="1870" w:type="pct"/>
            <w:vAlign w:val="center"/>
          </w:tcPr>
          <w:p w:rsidR="00B11C80" w:rsidRPr="00640162" w:rsidRDefault="00B11C80" w:rsidP="00185C48">
            <w:pPr>
              <w:jc w:val="right"/>
              <w:rPr>
                <w:rFonts w:asciiTheme="minorEastAsia" w:hAnsiTheme="minorEastAsia"/>
                <w:sz w:val="24"/>
                <w:szCs w:val="24"/>
              </w:rPr>
            </w:pPr>
            <w:r w:rsidRPr="00640162">
              <w:rPr>
                <w:rFonts w:asciiTheme="minorEastAsia" w:hAnsiTheme="minorEastAsia" w:hint="eastAsia"/>
                <w:sz w:val="24"/>
                <w:szCs w:val="24"/>
              </w:rPr>
              <w:t>检验结果</w:t>
            </w:r>
          </w:p>
        </w:tc>
        <w:tc>
          <w:tcPr>
            <w:tcW w:w="3130" w:type="pct"/>
            <w:vAlign w:val="center"/>
          </w:tcPr>
          <w:p w:rsidR="00B11C80" w:rsidRPr="002A6857" w:rsidRDefault="00E03635" w:rsidP="005957C6">
            <w:pPr>
              <w:ind w:firstLineChars="100" w:firstLine="240"/>
              <w:rPr>
                <w:rFonts w:ascii="Times New Roman" w:hAnsi="Times New Roman" w:cs="Times New Roman"/>
                <w:sz w:val="24"/>
                <w:szCs w:val="24"/>
                <w:highlight w:val="yellow"/>
              </w:rPr>
            </w:pPr>
            <w:r>
              <w:rPr>
                <w:rFonts w:asciiTheme="minorEastAsia" w:hAnsiTheme="minorEastAsia" w:hint="eastAsia"/>
                <w:sz w:val="24"/>
                <w:szCs w:val="24"/>
              </w:rPr>
              <w:t>结果符合规定</w:t>
            </w:r>
            <w:r w:rsidR="006C0229">
              <w:rPr>
                <w:rFonts w:asciiTheme="minorEastAsia" w:hAnsiTheme="minorEastAsia" w:hint="eastAsia"/>
                <w:sz w:val="24"/>
                <w:szCs w:val="24"/>
              </w:rPr>
              <w:t>。</w:t>
            </w:r>
          </w:p>
        </w:tc>
      </w:tr>
      <w:tr w:rsidR="00B11091" w:rsidRPr="00F7673C" w:rsidTr="009958B1">
        <w:trPr>
          <w:trHeight w:val="1077"/>
          <w:jc w:val="center"/>
        </w:trPr>
        <w:tc>
          <w:tcPr>
            <w:tcW w:w="1870" w:type="pct"/>
            <w:vAlign w:val="center"/>
          </w:tcPr>
          <w:p w:rsidR="00B11091" w:rsidRPr="00F7673C" w:rsidRDefault="00D65897" w:rsidP="00185C48">
            <w:pPr>
              <w:jc w:val="right"/>
              <w:rPr>
                <w:rFonts w:asciiTheme="minorEastAsia" w:hAnsiTheme="minorEastAsia"/>
                <w:sz w:val="24"/>
                <w:szCs w:val="24"/>
              </w:rPr>
            </w:pPr>
            <w:r w:rsidRPr="00F7673C">
              <w:rPr>
                <w:rFonts w:asciiTheme="minorEastAsia" w:hAnsiTheme="minorEastAsia" w:hint="eastAsia"/>
                <w:sz w:val="24"/>
                <w:szCs w:val="24"/>
              </w:rPr>
              <w:t>完成的临床研究</w:t>
            </w:r>
            <w:r w:rsidR="00B11091" w:rsidRPr="00F7673C">
              <w:rPr>
                <w:rFonts w:asciiTheme="minorEastAsia" w:hAnsiTheme="minorEastAsia" w:hint="eastAsia"/>
                <w:sz w:val="24"/>
                <w:szCs w:val="24"/>
              </w:rPr>
              <w:t>内容</w:t>
            </w:r>
          </w:p>
        </w:tc>
        <w:tc>
          <w:tcPr>
            <w:tcW w:w="3130" w:type="pct"/>
            <w:vAlign w:val="center"/>
          </w:tcPr>
          <w:p w:rsidR="00B11091" w:rsidRPr="00F7673C" w:rsidRDefault="00C60AAA" w:rsidP="008A03A5">
            <w:pPr>
              <w:ind w:firstLineChars="100" w:firstLine="240"/>
              <w:rPr>
                <w:rFonts w:asciiTheme="minorEastAsia" w:hAnsiTheme="minorEastAsia"/>
                <w:sz w:val="24"/>
                <w:szCs w:val="24"/>
              </w:rPr>
            </w:pPr>
            <w:r w:rsidRPr="00F7673C">
              <w:rPr>
                <w:rFonts w:asciiTheme="minorEastAsia" w:hAnsiTheme="minorEastAsia" w:hint="eastAsia"/>
                <w:sz w:val="24"/>
                <w:szCs w:val="24"/>
              </w:rPr>
              <w:t>■</w:t>
            </w:r>
            <w:r w:rsidR="00B11091" w:rsidRPr="00F7673C">
              <w:rPr>
                <w:rFonts w:asciiTheme="minorEastAsia" w:hAnsiTheme="minorEastAsia" w:hint="eastAsia"/>
                <w:sz w:val="24"/>
                <w:szCs w:val="24"/>
              </w:rPr>
              <w:t>PK</w:t>
            </w:r>
            <w:r w:rsidR="00D65897" w:rsidRPr="00F7673C">
              <w:rPr>
                <w:rFonts w:asciiTheme="minorEastAsia" w:hAnsiTheme="minorEastAsia" w:hint="eastAsia"/>
                <w:sz w:val="24"/>
                <w:szCs w:val="24"/>
              </w:rPr>
              <w:t>终点生物等效性研究</w:t>
            </w:r>
          </w:p>
          <w:p w:rsidR="00B11091" w:rsidRPr="00F7673C" w:rsidRDefault="00B11091" w:rsidP="008A03A5">
            <w:pPr>
              <w:ind w:firstLineChars="100" w:firstLine="240"/>
              <w:rPr>
                <w:rFonts w:asciiTheme="minorEastAsia" w:hAnsiTheme="minorEastAsia"/>
                <w:sz w:val="24"/>
                <w:szCs w:val="24"/>
              </w:rPr>
            </w:pPr>
            <w:r w:rsidRPr="00F7673C">
              <w:rPr>
                <w:rFonts w:asciiTheme="minorEastAsia" w:hAnsiTheme="minorEastAsia" w:hint="eastAsia"/>
                <w:sz w:val="24"/>
                <w:szCs w:val="24"/>
              </w:rPr>
              <w:t>□PD终点生物等效性</w:t>
            </w:r>
            <w:r w:rsidR="00D65897" w:rsidRPr="00F7673C">
              <w:rPr>
                <w:rFonts w:asciiTheme="minorEastAsia" w:hAnsiTheme="minorEastAsia" w:hint="eastAsia"/>
                <w:sz w:val="24"/>
                <w:szCs w:val="24"/>
              </w:rPr>
              <w:t>研究</w:t>
            </w:r>
          </w:p>
          <w:p w:rsidR="00B11091" w:rsidRPr="00F7673C" w:rsidRDefault="00B11091" w:rsidP="008A03A5">
            <w:pPr>
              <w:ind w:firstLineChars="100" w:firstLine="240"/>
              <w:rPr>
                <w:rFonts w:asciiTheme="minorEastAsia" w:hAnsiTheme="minorEastAsia"/>
                <w:sz w:val="24"/>
                <w:szCs w:val="24"/>
              </w:rPr>
            </w:pPr>
            <w:r w:rsidRPr="00F7673C">
              <w:rPr>
                <w:rFonts w:asciiTheme="minorEastAsia" w:hAnsiTheme="minorEastAsia" w:hint="eastAsia"/>
                <w:sz w:val="24"/>
                <w:szCs w:val="24"/>
              </w:rPr>
              <w:t>□</w:t>
            </w:r>
            <w:r w:rsidR="00D65897" w:rsidRPr="00F7673C">
              <w:rPr>
                <w:rFonts w:asciiTheme="minorEastAsia" w:hAnsiTheme="minorEastAsia" w:hint="eastAsia"/>
                <w:sz w:val="24"/>
                <w:szCs w:val="24"/>
              </w:rPr>
              <w:t>临床研究</w:t>
            </w:r>
          </w:p>
          <w:p w:rsidR="00B11091" w:rsidRPr="00F7673C" w:rsidRDefault="00D65897" w:rsidP="008A03A5">
            <w:pPr>
              <w:ind w:firstLineChars="100" w:firstLine="240"/>
              <w:rPr>
                <w:rFonts w:asciiTheme="minorEastAsia" w:hAnsiTheme="minorEastAsia"/>
                <w:sz w:val="24"/>
                <w:szCs w:val="24"/>
              </w:rPr>
            </w:pPr>
            <w:r w:rsidRPr="00F7673C">
              <w:rPr>
                <w:rFonts w:asciiTheme="minorEastAsia" w:hAnsiTheme="minorEastAsia" w:hint="eastAsia"/>
                <w:sz w:val="24"/>
                <w:szCs w:val="24"/>
              </w:rPr>
              <w:t>□其它</w:t>
            </w:r>
          </w:p>
        </w:tc>
      </w:tr>
      <w:tr w:rsidR="00B11091" w:rsidRPr="00F7673C" w:rsidTr="009958B1">
        <w:trPr>
          <w:trHeight w:val="454"/>
          <w:jc w:val="center"/>
        </w:trPr>
        <w:tc>
          <w:tcPr>
            <w:tcW w:w="1870" w:type="pct"/>
            <w:vAlign w:val="center"/>
          </w:tcPr>
          <w:p w:rsidR="00B11091" w:rsidRPr="002A6857" w:rsidRDefault="008134A0" w:rsidP="00185C48">
            <w:pPr>
              <w:jc w:val="right"/>
              <w:rPr>
                <w:rFonts w:ascii="Times New Roman" w:hAnsi="Times New Roman" w:cs="Times New Roman"/>
                <w:sz w:val="24"/>
                <w:szCs w:val="24"/>
              </w:rPr>
            </w:pPr>
            <w:r w:rsidRPr="002A6857">
              <w:rPr>
                <w:rFonts w:ascii="Times New Roman" w:hAnsi="Times New Roman" w:cs="Times New Roman"/>
                <w:sz w:val="24"/>
                <w:szCs w:val="24"/>
              </w:rPr>
              <w:t>BE</w:t>
            </w:r>
            <w:r w:rsidRPr="002A6857">
              <w:rPr>
                <w:rFonts w:ascii="Times New Roman" w:hAnsi="Times New Roman" w:cs="Times New Roman"/>
                <w:sz w:val="24"/>
                <w:szCs w:val="24"/>
              </w:rPr>
              <w:t>备案号</w:t>
            </w:r>
            <w:r w:rsidRPr="002A6857">
              <w:rPr>
                <w:rFonts w:ascii="Times New Roman" w:hAnsi="Times New Roman" w:cs="Times New Roman"/>
                <w:sz w:val="24"/>
                <w:szCs w:val="24"/>
              </w:rPr>
              <w:t>/</w:t>
            </w:r>
            <w:r w:rsidRPr="002A6857">
              <w:rPr>
                <w:rFonts w:ascii="Times New Roman" w:hAnsi="Times New Roman" w:cs="Times New Roman"/>
                <w:sz w:val="24"/>
                <w:szCs w:val="24"/>
              </w:rPr>
              <w:t>临床试验批件号</w:t>
            </w:r>
          </w:p>
        </w:tc>
        <w:tc>
          <w:tcPr>
            <w:tcW w:w="3130" w:type="pct"/>
            <w:vAlign w:val="center"/>
          </w:tcPr>
          <w:p w:rsidR="00B11091" w:rsidRPr="002A6857" w:rsidRDefault="00D70300" w:rsidP="005B5CEE">
            <w:pPr>
              <w:ind w:firstLineChars="100" w:firstLine="240"/>
              <w:rPr>
                <w:rFonts w:ascii="Times New Roman" w:hAnsi="Times New Roman" w:cs="Times New Roman"/>
                <w:sz w:val="24"/>
                <w:szCs w:val="24"/>
              </w:rPr>
            </w:pPr>
            <w:r w:rsidRPr="00D70300">
              <w:rPr>
                <w:rFonts w:ascii="Times New Roman" w:hAnsi="Times New Roman" w:cs="Times New Roman"/>
                <w:sz w:val="24"/>
                <w:szCs w:val="24"/>
              </w:rPr>
              <w:t>202000095-01</w:t>
            </w:r>
          </w:p>
        </w:tc>
      </w:tr>
      <w:tr w:rsidR="00B11091" w:rsidRPr="00F7673C" w:rsidTr="009958B1">
        <w:trPr>
          <w:trHeight w:val="454"/>
          <w:jc w:val="center"/>
        </w:trPr>
        <w:tc>
          <w:tcPr>
            <w:tcW w:w="1870" w:type="pct"/>
            <w:vAlign w:val="center"/>
          </w:tcPr>
          <w:p w:rsidR="00B11091" w:rsidRPr="00F7673C" w:rsidRDefault="008134A0" w:rsidP="00185C48">
            <w:pPr>
              <w:jc w:val="right"/>
              <w:rPr>
                <w:rFonts w:asciiTheme="minorEastAsia" w:hAnsiTheme="minorEastAsia"/>
                <w:sz w:val="24"/>
                <w:szCs w:val="24"/>
              </w:rPr>
            </w:pPr>
            <w:r w:rsidRPr="00F7673C">
              <w:rPr>
                <w:rFonts w:asciiTheme="minorEastAsia" w:hAnsiTheme="minorEastAsia" w:hint="eastAsia"/>
                <w:sz w:val="24"/>
                <w:szCs w:val="24"/>
              </w:rPr>
              <w:t>临床</w:t>
            </w:r>
            <w:r w:rsidR="00B11091" w:rsidRPr="00F7673C">
              <w:rPr>
                <w:rFonts w:asciiTheme="minorEastAsia" w:hAnsiTheme="minorEastAsia" w:hint="eastAsia"/>
                <w:sz w:val="24"/>
                <w:szCs w:val="24"/>
              </w:rPr>
              <w:t>研究机构</w:t>
            </w:r>
          </w:p>
        </w:tc>
        <w:tc>
          <w:tcPr>
            <w:tcW w:w="3130" w:type="pct"/>
            <w:vAlign w:val="center"/>
          </w:tcPr>
          <w:p w:rsidR="00B11091" w:rsidRPr="00F7673C" w:rsidRDefault="00D70300" w:rsidP="00F32D89">
            <w:pPr>
              <w:pStyle w:val="a8"/>
              <w:ind w:firstLineChars="113" w:firstLine="271"/>
              <w:rPr>
                <w:rFonts w:asciiTheme="minorEastAsia" w:eastAsiaTheme="minorEastAsia" w:hAnsiTheme="minorEastAsia"/>
                <w:sz w:val="24"/>
                <w:szCs w:val="24"/>
              </w:rPr>
            </w:pPr>
            <w:r w:rsidRPr="00D70300">
              <w:rPr>
                <w:rFonts w:asciiTheme="minorEastAsia" w:eastAsiaTheme="minorEastAsia" w:hAnsiTheme="minorEastAsia" w:hint="eastAsia"/>
                <w:sz w:val="24"/>
                <w:szCs w:val="24"/>
              </w:rPr>
              <w:t>新郑市人民医院</w:t>
            </w:r>
          </w:p>
        </w:tc>
      </w:tr>
      <w:tr w:rsidR="00B11091" w:rsidRPr="00F7673C" w:rsidTr="009958B1">
        <w:trPr>
          <w:trHeight w:val="454"/>
          <w:jc w:val="center"/>
        </w:trPr>
        <w:tc>
          <w:tcPr>
            <w:tcW w:w="1870" w:type="pct"/>
            <w:vAlign w:val="center"/>
          </w:tcPr>
          <w:p w:rsidR="00B11091" w:rsidRPr="00F7673C" w:rsidRDefault="008134A0" w:rsidP="00185C48">
            <w:pPr>
              <w:jc w:val="right"/>
              <w:rPr>
                <w:rFonts w:asciiTheme="minorEastAsia" w:hAnsiTheme="minorEastAsia"/>
                <w:sz w:val="24"/>
                <w:szCs w:val="24"/>
              </w:rPr>
            </w:pPr>
            <w:r w:rsidRPr="00F7673C">
              <w:rPr>
                <w:rFonts w:asciiTheme="minorEastAsia" w:hAnsiTheme="minorEastAsia" w:hint="eastAsia"/>
                <w:sz w:val="24"/>
                <w:szCs w:val="24"/>
              </w:rPr>
              <w:t>数据</w:t>
            </w:r>
            <w:r w:rsidR="00B11091" w:rsidRPr="00F7673C">
              <w:rPr>
                <w:rFonts w:asciiTheme="minorEastAsia" w:hAnsiTheme="minorEastAsia" w:hint="eastAsia"/>
                <w:sz w:val="24"/>
                <w:szCs w:val="24"/>
              </w:rPr>
              <w:t>统计</w:t>
            </w:r>
            <w:r w:rsidRPr="00F7673C">
              <w:rPr>
                <w:rFonts w:asciiTheme="minorEastAsia" w:hAnsiTheme="minorEastAsia" w:hint="eastAsia"/>
                <w:sz w:val="24"/>
                <w:szCs w:val="24"/>
              </w:rPr>
              <w:t>分析</w:t>
            </w:r>
            <w:r w:rsidR="00B11091" w:rsidRPr="00F7673C">
              <w:rPr>
                <w:rFonts w:asciiTheme="minorEastAsia" w:hAnsiTheme="minorEastAsia" w:hint="eastAsia"/>
                <w:sz w:val="24"/>
                <w:szCs w:val="24"/>
              </w:rPr>
              <w:t>机构</w:t>
            </w:r>
          </w:p>
        </w:tc>
        <w:tc>
          <w:tcPr>
            <w:tcW w:w="3130" w:type="pct"/>
            <w:vAlign w:val="center"/>
          </w:tcPr>
          <w:p w:rsidR="00B11091" w:rsidRPr="00F7673C" w:rsidRDefault="00D70300" w:rsidP="00C60AAA">
            <w:pPr>
              <w:pStyle w:val="a8"/>
              <w:ind w:firstLineChars="113" w:firstLine="271"/>
              <w:rPr>
                <w:rFonts w:asciiTheme="minorEastAsia" w:eastAsiaTheme="minorEastAsia" w:hAnsiTheme="minorEastAsia"/>
                <w:sz w:val="24"/>
                <w:szCs w:val="24"/>
              </w:rPr>
            </w:pPr>
            <w:r w:rsidRPr="00D70300">
              <w:rPr>
                <w:rFonts w:asciiTheme="minorEastAsia" w:eastAsiaTheme="minorEastAsia" w:hAnsiTheme="minorEastAsia" w:hint="eastAsia"/>
                <w:sz w:val="24"/>
                <w:szCs w:val="24"/>
              </w:rPr>
              <w:t>美达科</w:t>
            </w:r>
            <w:r>
              <w:rPr>
                <w:rFonts w:asciiTheme="minorEastAsia" w:eastAsiaTheme="minorEastAsia" w:hAnsiTheme="minorEastAsia" w:hint="eastAsia"/>
                <w:sz w:val="24"/>
                <w:szCs w:val="24"/>
              </w:rPr>
              <w:t>林（南京）医药科技有限公司和南京医科大学公共卫生学院</w:t>
            </w:r>
          </w:p>
        </w:tc>
      </w:tr>
      <w:tr w:rsidR="00B11091" w:rsidRPr="00F7673C" w:rsidTr="009958B1">
        <w:trPr>
          <w:trHeight w:val="454"/>
          <w:jc w:val="center"/>
        </w:trPr>
        <w:tc>
          <w:tcPr>
            <w:tcW w:w="1870" w:type="pct"/>
            <w:vAlign w:val="center"/>
          </w:tcPr>
          <w:p w:rsidR="00B11091" w:rsidRPr="00F7673C" w:rsidRDefault="008134A0" w:rsidP="00185C48">
            <w:pPr>
              <w:jc w:val="right"/>
              <w:rPr>
                <w:rFonts w:asciiTheme="minorEastAsia" w:hAnsiTheme="minorEastAsia"/>
                <w:sz w:val="24"/>
                <w:szCs w:val="24"/>
              </w:rPr>
            </w:pPr>
            <w:r w:rsidRPr="00F7673C">
              <w:rPr>
                <w:rFonts w:asciiTheme="minorEastAsia" w:hAnsiTheme="minorEastAsia" w:hint="eastAsia"/>
                <w:sz w:val="24"/>
                <w:szCs w:val="24"/>
              </w:rPr>
              <w:t>生物样本</w:t>
            </w:r>
            <w:r w:rsidR="00B11091" w:rsidRPr="00F7673C">
              <w:rPr>
                <w:rFonts w:asciiTheme="minorEastAsia" w:hAnsiTheme="minorEastAsia" w:hint="eastAsia"/>
                <w:sz w:val="24"/>
                <w:szCs w:val="24"/>
              </w:rPr>
              <w:t>检测机构</w:t>
            </w:r>
          </w:p>
        </w:tc>
        <w:tc>
          <w:tcPr>
            <w:tcW w:w="3130" w:type="pct"/>
            <w:vAlign w:val="center"/>
          </w:tcPr>
          <w:p w:rsidR="00B11091" w:rsidRPr="00F7673C" w:rsidRDefault="00D70300" w:rsidP="00C60AAA">
            <w:pPr>
              <w:pStyle w:val="a8"/>
              <w:ind w:firstLineChars="113" w:firstLine="271"/>
              <w:rPr>
                <w:rFonts w:asciiTheme="minorEastAsia" w:eastAsiaTheme="minorEastAsia" w:hAnsiTheme="minorEastAsia"/>
                <w:sz w:val="24"/>
                <w:szCs w:val="24"/>
              </w:rPr>
            </w:pPr>
            <w:r w:rsidRPr="00D70300">
              <w:rPr>
                <w:rFonts w:asciiTheme="minorEastAsia" w:eastAsiaTheme="minorEastAsia" w:hAnsiTheme="minorEastAsia" w:hint="eastAsia"/>
                <w:sz w:val="24"/>
                <w:szCs w:val="24"/>
              </w:rPr>
              <w:t>上海方达生物技术有限公司</w:t>
            </w:r>
          </w:p>
        </w:tc>
      </w:tr>
      <w:tr w:rsidR="00635EF5" w:rsidRPr="00F7673C" w:rsidTr="009958B1">
        <w:trPr>
          <w:trHeight w:val="454"/>
          <w:jc w:val="center"/>
        </w:trPr>
        <w:tc>
          <w:tcPr>
            <w:tcW w:w="1870" w:type="pct"/>
            <w:vAlign w:val="center"/>
          </w:tcPr>
          <w:p w:rsidR="00635EF5" w:rsidRPr="00F7673C" w:rsidRDefault="008134A0" w:rsidP="008134A0">
            <w:pPr>
              <w:jc w:val="right"/>
              <w:rPr>
                <w:rFonts w:asciiTheme="minorEastAsia" w:hAnsiTheme="minorEastAsia"/>
                <w:sz w:val="24"/>
                <w:szCs w:val="24"/>
              </w:rPr>
            </w:pPr>
            <w:r w:rsidRPr="00F7673C">
              <w:rPr>
                <w:rFonts w:asciiTheme="minorEastAsia" w:hAnsiTheme="minorEastAsia" w:hint="eastAsia"/>
                <w:sz w:val="24"/>
                <w:szCs w:val="24"/>
              </w:rPr>
              <w:t>试验设计</w:t>
            </w:r>
          </w:p>
        </w:tc>
        <w:tc>
          <w:tcPr>
            <w:tcW w:w="3130" w:type="pct"/>
            <w:vAlign w:val="center"/>
          </w:tcPr>
          <w:p w:rsidR="00635EF5" w:rsidRPr="00F7673C" w:rsidRDefault="00643278" w:rsidP="00460523">
            <w:pPr>
              <w:pStyle w:val="a8"/>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单中心、随机、开放、单次给药、两制剂、两周期、交叉</w:t>
            </w:r>
            <w:r w:rsidRPr="00643278">
              <w:rPr>
                <w:rFonts w:asciiTheme="minorEastAsia" w:eastAsiaTheme="minorEastAsia" w:hAnsiTheme="minorEastAsia" w:hint="eastAsia"/>
                <w:sz w:val="24"/>
                <w:szCs w:val="24"/>
              </w:rPr>
              <w:t>设计</w:t>
            </w:r>
          </w:p>
        </w:tc>
      </w:tr>
      <w:tr w:rsidR="008134A0" w:rsidRPr="00F7673C" w:rsidTr="009958B1">
        <w:trPr>
          <w:trHeight w:val="454"/>
          <w:jc w:val="center"/>
        </w:trPr>
        <w:tc>
          <w:tcPr>
            <w:tcW w:w="1870" w:type="pct"/>
            <w:vAlign w:val="center"/>
          </w:tcPr>
          <w:p w:rsidR="008134A0" w:rsidRPr="00F7673C" w:rsidRDefault="008134A0" w:rsidP="00185C48">
            <w:pPr>
              <w:jc w:val="right"/>
              <w:rPr>
                <w:rFonts w:asciiTheme="minorEastAsia" w:hAnsiTheme="minorEastAsia"/>
                <w:sz w:val="24"/>
                <w:szCs w:val="24"/>
              </w:rPr>
            </w:pPr>
            <w:r w:rsidRPr="00F7673C">
              <w:rPr>
                <w:rFonts w:asciiTheme="minorEastAsia" w:hAnsiTheme="minorEastAsia" w:hint="eastAsia"/>
                <w:sz w:val="24"/>
                <w:szCs w:val="24"/>
              </w:rPr>
              <w:t>检测物质</w:t>
            </w:r>
          </w:p>
        </w:tc>
        <w:tc>
          <w:tcPr>
            <w:tcW w:w="3130" w:type="pct"/>
            <w:vAlign w:val="center"/>
          </w:tcPr>
          <w:p w:rsidR="008134A0" w:rsidRPr="00F7673C" w:rsidRDefault="00D70300" w:rsidP="00D70300">
            <w:pPr>
              <w:pStyle w:val="a8"/>
              <w:ind w:firstLineChars="113" w:firstLine="271"/>
              <w:rPr>
                <w:rFonts w:asciiTheme="minorEastAsia" w:eastAsiaTheme="minorEastAsia" w:hAnsiTheme="minorEastAsia"/>
                <w:sz w:val="24"/>
                <w:szCs w:val="24"/>
              </w:rPr>
            </w:pPr>
            <w:r w:rsidRPr="00D70300">
              <w:rPr>
                <w:rFonts w:asciiTheme="minorEastAsia" w:eastAsiaTheme="minorEastAsia" w:hAnsiTheme="minorEastAsia" w:hint="eastAsia"/>
                <w:sz w:val="24"/>
                <w:szCs w:val="24"/>
              </w:rPr>
              <w:t>血浆样品中熊去氧胆酸及其活性代谢产物甘氨酸熊去氧胆酸和牛磺酸熊去氧胆酸</w:t>
            </w:r>
          </w:p>
        </w:tc>
      </w:tr>
      <w:tr w:rsidR="0066279A" w:rsidRPr="00F7673C" w:rsidTr="009958B1">
        <w:trPr>
          <w:trHeight w:val="454"/>
          <w:jc w:val="center"/>
        </w:trPr>
        <w:tc>
          <w:tcPr>
            <w:tcW w:w="1870" w:type="pct"/>
            <w:vAlign w:val="center"/>
          </w:tcPr>
          <w:p w:rsidR="0066279A" w:rsidRPr="002A6857" w:rsidRDefault="0066279A" w:rsidP="00185C48">
            <w:pPr>
              <w:jc w:val="right"/>
              <w:rPr>
                <w:rFonts w:ascii="Times New Roman" w:hAnsi="Times New Roman" w:cs="Times New Roman"/>
                <w:sz w:val="24"/>
                <w:szCs w:val="24"/>
              </w:rPr>
            </w:pPr>
            <w:r w:rsidRPr="002A6857">
              <w:rPr>
                <w:rFonts w:ascii="Times New Roman" w:hAnsi="Times New Roman" w:cs="Times New Roman"/>
                <w:sz w:val="24"/>
                <w:szCs w:val="24"/>
              </w:rPr>
              <w:t>检测方法</w:t>
            </w:r>
          </w:p>
        </w:tc>
        <w:tc>
          <w:tcPr>
            <w:tcW w:w="3130" w:type="pct"/>
            <w:vAlign w:val="center"/>
          </w:tcPr>
          <w:p w:rsidR="0066279A" w:rsidRPr="002A6857" w:rsidRDefault="00460523" w:rsidP="00460523">
            <w:pPr>
              <w:pStyle w:val="a8"/>
              <w:ind w:firstLineChars="113" w:firstLine="271"/>
              <w:rPr>
                <w:rFonts w:ascii="Times New Roman" w:eastAsiaTheme="minorEastAsia" w:hAnsi="Times New Roman"/>
                <w:sz w:val="24"/>
                <w:szCs w:val="24"/>
              </w:rPr>
            </w:pPr>
            <w:r w:rsidRPr="002A6857">
              <w:rPr>
                <w:rFonts w:ascii="Times New Roman" w:eastAsiaTheme="minorEastAsia" w:hAnsi="Times New Roman"/>
                <w:sz w:val="24"/>
                <w:szCs w:val="24"/>
              </w:rPr>
              <w:t>HPLC-MS/MS</w:t>
            </w:r>
            <w:r w:rsidR="00802FDB">
              <w:rPr>
                <w:rFonts w:ascii="Times New Roman" w:eastAsiaTheme="minorEastAsia" w:hAnsi="Times New Roman" w:hint="eastAsia"/>
                <w:sz w:val="24"/>
                <w:szCs w:val="24"/>
              </w:rPr>
              <w:t>法</w:t>
            </w:r>
          </w:p>
        </w:tc>
      </w:tr>
      <w:tr w:rsidR="00505583" w:rsidRPr="00F7673C" w:rsidTr="009958B1">
        <w:trPr>
          <w:trHeight w:val="454"/>
          <w:jc w:val="center"/>
        </w:trPr>
        <w:tc>
          <w:tcPr>
            <w:tcW w:w="1870" w:type="pct"/>
            <w:vAlign w:val="center"/>
          </w:tcPr>
          <w:p w:rsidR="00505583" w:rsidRPr="00F7673C" w:rsidRDefault="00587924" w:rsidP="00185C48">
            <w:pPr>
              <w:jc w:val="right"/>
              <w:rPr>
                <w:rFonts w:asciiTheme="minorEastAsia" w:hAnsiTheme="minorEastAsia"/>
                <w:sz w:val="24"/>
                <w:szCs w:val="24"/>
                <w:highlight w:val="yellow"/>
              </w:rPr>
            </w:pPr>
            <w:r w:rsidRPr="00F7673C">
              <w:rPr>
                <w:rFonts w:asciiTheme="minorEastAsia" w:hAnsiTheme="minorEastAsia" w:hint="eastAsia"/>
                <w:sz w:val="24"/>
                <w:szCs w:val="24"/>
              </w:rPr>
              <w:t>临床</w:t>
            </w:r>
            <w:r w:rsidRPr="00F7673C">
              <w:rPr>
                <w:rFonts w:asciiTheme="minorEastAsia" w:hAnsiTheme="minorEastAsia"/>
                <w:sz w:val="24"/>
                <w:szCs w:val="24"/>
              </w:rPr>
              <w:t>研究</w:t>
            </w:r>
            <w:r w:rsidRPr="00F7673C">
              <w:rPr>
                <w:rFonts w:asciiTheme="minorEastAsia" w:hAnsiTheme="minorEastAsia" w:hint="eastAsia"/>
                <w:sz w:val="24"/>
                <w:szCs w:val="24"/>
              </w:rPr>
              <w:t>豁免</w:t>
            </w:r>
            <w:r w:rsidRPr="00F7673C">
              <w:rPr>
                <w:rFonts w:asciiTheme="minorEastAsia" w:hAnsiTheme="minorEastAsia"/>
                <w:sz w:val="24"/>
                <w:szCs w:val="24"/>
              </w:rPr>
              <w:t>情况</w:t>
            </w:r>
          </w:p>
        </w:tc>
        <w:tc>
          <w:tcPr>
            <w:tcW w:w="3130" w:type="pct"/>
            <w:vAlign w:val="center"/>
          </w:tcPr>
          <w:p w:rsidR="00505583" w:rsidRPr="00A146F1" w:rsidRDefault="00A4245B" w:rsidP="005A67A6">
            <w:pPr>
              <w:pStyle w:val="a8"/>
              <w:ind w:firstLineChars="113" w:firstLine="271"/>
              <w:rPr>
                <w:rFonts w:ascii="Times New Roman" w:eastAsiaTheme="minorEastAsia" w:hAnsi="Times New Roman"/>
                <w:sz w:val="24"/>
                <w:szCs w:val="24"/>
                <w:highlight w:val="yellow"/>
              </w:rPr>
            </w:pPr>
            <w:r>
              <w:rPr>
                <w:rFonts w:ascii="Times New Roman" w:hAnsi="Times New Roman" w:hint="eastAsia"/>
                <w:sz w:val="24"/>
                <w:szCs w:val="24"/>
              </w:rPr>
              <w:t>不适用</w:t>
            </w:r>
          </w:p>
        </w:tc>
      </w:tr>
    </w:tbl>
    <w:p w:rsidR="00B11091" w:rsidRPr="00D84DB5" w:rsidRDefault="00825632" w:rsidP="00200E47">
      <w:pPr>
        <w:spacing w:before="240" w:after="240" w:line="276" w:lineRule="auto"/>
        <w:rPr>
          <w:rFonts w:ascii="Times New Roman" w:hAnsi="Times New Roman" w:cs="Times New Roman"/>
          <w:sz w:val="24"/>
          <w:szCs w:val="24"/>
        </w:rPr>
      </w:pPr>
      <w:r w:rsidRPr="00F7673C">
        <w:rPr>
          <w:rFonts w:asciiTheme="minorEastAsia" w:hAnsiTheme="minorEastAsia" w:hint="eastAsia"/>
          <w:b/>
          <w:sz w:val="28"/>
          <w:szCs w:val="24"/>
        </w:rPr>
        <w:lastRenderedPageBreak/>
        <w:t>2.生物等效性</w:t>
      </w:r>
      <w:r w:rsidR="005D604A" w:rsidRPr="00F7673C">
        <w:rPr>
          <w:rFonts w:asciiTheme="minorEastAsia" w:hAnsiTheme="minorEastAsia" w:hint="eastAsia"/>
          <w:b/>
          <w:sz w:val="28"/>
          <w:szCs w:val="24"/>
        </w:rPr>
        <w:t>研究</w:t>
      </w:r>
      <w:r w:rsidR="00B11091" w:rsidRPr="00F7673C">
        <w:rPr>
          <w:rFonts w:asciiTheme="minorEastAsia" w:hAnsiTheme="minorEastAsia" w:hint="eastAsia"/>
          <w:b/>
          <w:sz w:val="28"/>
          <w:szCs w:val="24"/>
        </w:rPr>
        <w:t>结果</w:t>
      </w:r>
      <w:r w:rsidR="00587924" w:rsidRPr="00F7673C">
        <w:rPr>
          <w:rFonts w:asciiTheme="minorEastAsia" w:hAnsiTheme="minorEastAsia" w:hint="eastAsia"/>
          <w:sz w:val="24"/>
          <w:szCs w:val="24"/>
        </w:rPr>
        <w:t>（</w:t>
      </w:r>
      <w:bookmarkStart w:id="0" w:name="_GoBack"/>
      <w:bookmarkEnd w:id="0"/>
      <w:r w:rsidR="00D84DB5">
        <w:rPr>
          <w:rFonts w:ascii="Times New Roman" w:hAnsi="Times New Roman" w:cs="Times New Roman"/>
          <w:sz w:val="24"/>
          <w:szCs w:val="24"/>
        </w:rPr>
        <w:t>0.25g</w:t>
      </w:r>
      <w:r w:rsidR="00B11091" w:rsidRPr="00F7673C">
        <w:rPr>
          <w:rFonts w:asciiTheme="minorEastAsia" w:hAnsiTheme="minorEastAsia" w:hint="eastAsia"/>
          <w:sz w:val="24"/>
          <w:szCs w:val="24"/>
        </w:rPr>
        <w:t>规格</w:t>
      </w:r>
      <w:r w:rsidR="00F7673C" w:rsidRPr="00F7673C">
        <w:rPr>
          <w:rFonts w:asciiTheme="minorEastAsia" w:hAnsiTheme="minorEastAsia" w:hint="eastAsia"/>
          <w:sz w:val="24"/>
          <w:szCs w:val="24"/>
        </w:rPr>
        <w:t>，血浆中的</w:t>
      </w:r>
      <w:r w:rsidR="00EE0A95" w:rsidRPr="00EE0A95">
        <w:rPr>
          <w:rFonts w:asciiTheme="minorEastAsia" w:hAnsiTheme="minorEastAsia" w:hint="eastAsia"/>
          <w:sz w:val="24"/>
          <w:szCs w:val="24"/>
        </w:rPr>
        <w:t>熊去氧胆酸及其活性代谢产物甘氨酸熊去氧胆酸和牛磺酸熊去氧胆酸</w:t>
      </w:r>
      <w:r w:rsidR="00587924" w:rsidRPr="00F7673C">
        <w:rPr>
          <w:rFonts w:asciiTheme="minorEastAsia" w:hAnsiTheme="minorEastAsia" w:hint="eastAsia"/>
          <w:sz w:val="24"/>
          <w:szCs w:val="24"/>
        </w:rPr>
        <w:t>）</w:t>
      </w:r>
    </w:p>
    <w:tbl>
      <w:tblPr>
        <w:tblStyle w:val="a7"/>
        <w:tblW w:w="6238" w:type="pct"/>
        <w:jc w:val="center"/>
        <w:tblLayout w:type="fixed"/>
        <w:tblLook w:val="04A0" w:firstRow="1" w:lastRow="0" w:firstColumn="1" w:lastColumn="0" w:noHBand="0" w:noVBand="1"/>
      </w:tblPr>
      <w:tblGrid>
        <w:gridCol w:w="987"/>
        <w:gridCol w:w="1561"/>
        <w:gridCol w:w="2126"/>
        <w:gridCol w:w="1288"/>
        <w:gridCol w:w="1134"/>
        <w:gridCol w:w="1275"/>
        <w:gridCol w:w="1979"/>
      </w:tblGrid>
      <w:tr w:rsidR="00EC24A3" w:rsidRPr="009958B1" w:rsidTr="00EC24A3">
        <w:trPr>
          <w:trHeight w:val="20"/>
          <w:jc w:val="center"/>
        </w:trPr>
        <w:tc>
          <w:tcPr>
            <w:tcW w:w="477" w:type="pct"/>
            <w:vMerge w:val="restart"/>
            <w:vAlign w:val="center"/>
          </w:tcPr>
          <w:p w:rsidR="00EC24A3" w:rsidRPr="009958B1" w:rsidRDefault="00EC24A3" w:rsidP="00641826">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空腹</w:t>
            </w:r>
          </w:p>
          <w:p w:rsidR="00EC24A3" w:rsidRPr="009958B1" w:rsidRDefault="00EC24A3" w:rsidP="00641826">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BE</w:t>
            </w:r>
          </w:p>
          <w:p w:rsidR="00EC24A3" w:rsidRPr="009958B1" w:rsidRDefault="00EC24A3" w:rsidP="00EC24A3">
            <w:pPr>
              <w:pStyle w:val="a8"/>
              <w:ind w:firstLineChars="0" w:firstLine="0"/>
              <w:rPr>
                <w:rFonts w:ascii="Times New Roman" w:eastAsiaTheme="minorEastAsia" w:hAnsi="Times New Roman"/>
                <w:sz w:val="21"/>
                <w:szCs w:val="21"/>
              </w:rPr>
            </w:pP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n=</w:t>
            </w:r>
            <w:r>
              <w:rPr>
                <w:rFonts w:ascii="Times New Roman" w:eastAsiaTheme="minorEastAsia" w:hAnsi="Times New Roman"/>
                <w:sz w:val="21"/>
                <w:szCs w:val="21"/>
              </w:rPr>
              <w:t>48</w:t>
            </w:r>
            <w:r w:rsidRPr="009958B1">
              <w:rPr>
                <w:rFonts w:ascii="Times New Roman" w:eastAsiaTheme="minorEastAsia" w:hAnsi="Times New Roman"/>
                <w:sz w:val="21"/>
                <w:szCs w:val="21"/>
              </w:rPr>
              <w:t>）</w:t>
            </w:r>
          </w:p>
        </w:tc>
        <w:tc>
          <w:tcPr>
            <w:tcW w:w="754" w:type="pct"/>
            <w:vMerge w:val="restart"/>
          </w:tcPr>
          <w:p w:rsidR="00EC24A3" w:rsidRPr="009958B1" w:rsidRDefault="00EC24A3" w:rsidP="00185C48">
            <w:pPr>
              <w:pStyle w:val="a8"/>
              <w:ind w:firstLineChars="0" w:firstLine="0"/>
              <w:jc w:val="center"/>
              <w:rPr>
                <w:rFonts w:ascii="Times New Roman" w:eastAsiaTheme="minorEastAsia" w:hAnsi="Times New Roman"/>
                <w:szCs w:val="21"/>
              </w:rPr>
            </w:pPr>
          </w:p>
        </w:tc>
        <w:tc>
          <w:tcPr>
            <w:tcW w:w="1027" w:type="pct"/>
            <w:vMerge w:val="restart"/>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参数</w:t>
            </w:r>
          </w:p>
        </w:tc>
        <w:tc>
          <w:tcPr>
            <w:tcW w:w="1786" w:type="pct"/>
            <w:gridSpan w:val="3"/>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几何均值及比值</w:t>
            </w:r>
          </w:p>
        </w:tc>
        <w:tc>
          <w:tcPr>
            <w:tcW w:w="957" w:type="pct"/>
            <w:vMerge w:val="restart"/>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90%CI</w:t>
            </w:r>
          </w:p>
        </w:tc>
      </w:tr>
      <w:tr w:rsidR="00EC24A3" w:rsidRPr="009958B1" w:rsidTr="00EC24A3">
        <w:trPr>
          <w:trHeight w:val="20"/>
          <w:jc w:val="center"/>
        </w:trPr>
        <w:tc>
          <w:tcPr>
            <w:tcW w:w="477" w:type="pct"/>
            <w:vMerge/>
          </w:tcPr>
          <w:p w:rsidR="00EC24A3" w:rsidRPr="009958B1" w:rsidRDefault="00EC24A3" w:rsidP="00185C48">
            <w:pPr>
              <w:pStyle w:val="a8"/>
              <w:ind w:firstLineChars="0" w:firstLine="0"/>
              <w:jc w:val="center"/>
              <w:rPr>
                <w:rFonts w:ascii="Times New Roman" w:eastAsiaTheme="minorEastAsia" w:hAnsi="Times New Roman"/>
                <w:sz w:val="21"/>
                <w:szCs w:val="21"/>
              </w:rPr>
            </w:pPr>
          </w:p>
        </w:tc>
        <w:tc>
          <w:tcPr>
            <w:tcW w:w="754" w:type="pct"/>
            <w:vMerge/>
          </w:tcPr>
          <w:p w:rsidR="00EC24A3" w:rsidRPr="009958B1" w:rsidRDefault="00EC24A3" w:rsidP="00185C48">
            <w:pPr>
              <w:pStyle w:val="a8"/>
              <w:ind w:firstLineChars="0" w:firstLine="0"/>
              <w:jc w:val="center"/>
              <w:rPr>
                <w:rFonts w:ascii="Times New Roman" w:eastAsiaTheme="minorEastAsia" w:hAnsi="Times New Roman"/>
                <w:szCs w:val="21"/>
              </w:rPr>
            </w:pPr>
          </w:p>
        </w:tc>
        <w:tc>
          <w:tcPr>
            <w:tcW w:w="1027" w:type="pct"/>
            <w:vMerge/>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p>
        </w:tc>
        <w:tc>
          <w:tcPr>
            <w:tcW w:w="622" w:type="pct"/>
            <w:tcBorders>
              <w:bottom w:val="single" w:sz="4" w:space="0" w:color="auto"/>
            </w:tcBorders>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T</w:t>
            </w:r>
          </w:p>
        </w:tc>
        <w:tc>
          <w:tcPr>
            <w:tcW w:w="548" w:type="pct"/>
            <w:tcBorders>
              <w:bottom w:val="single" w:sz="4" w:space="0" w:color="auto"/>
            </w:tcBorders>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R</w:t>
            </w:r>
          </w:p>
        </w:tc>
        <w:tc>
          <w:tcPr>
            <w:tcW w:w="616" w:type="pct"/>
            <w:tcBorders>
              <w:bottom w:val="single" w:sz="4" w:space="0" w:color="auto"/>
            </w:tcBorders>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T/R</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w:t>
            </w:r>
          </w:p>
        </w:tc>
        <w:tc>
          <w:tcPr>
            <w:tcW w:w="957" w:type="pct"/>
            <w:vMerge/>
            <w:tcBorders>
              <w:bottom w:val="single" w:sz="4" w:space="0" w:color="auto"/>
            </w:tcBorders>
            <w:vAlign w:val="center"/>
          </w:tcPr>
          <w:p w:rsidR="00EC24A3" w:rsidRPr="009958B1" w:rsidRDefault="00EC24A3" w:rsidP="00185C48">
            <w:pPr>
              <w:pStyle w:val="a8"/>
              <w:ind w:firstLineChars="0" w:firstLine="0"/>
              <w:jc w:val="center"/>
              <w:rPr>
                <w:rFonts w:ascii="Times New Roman" w:eastAsiaTheme="minorEastAsia" w:hAnsi="Times New Roman"/>
                <w:sz w:val="21"/>
                <w:szCs w:val="21"/>
              </w:rPr>
            </w:pPr>
          </w:p>
        </w:tc>
      </w:tr>
      <w:tr w:rsidR="00EC24A3" w:rsidRPr="009958B1" w:rsidTr="00EC24A3">
        <w:trPr>
          <w:trHeight w:val="20"/>
          <w:jc w:val="center"/>
        </w:trPr>
        <w:tc>
          <w:tcPr>
            <w:tcW w:w="477" w:type="pct"/>
            <w:vMerge/>
          </w:tcPr>
          <w:p w:rsidR="00EC24A3" w:rsidRPr="009958B1" w:rsidRDefault="00EC24A3" w:rsidP="00D70300">
            <w:pPr>
              <w:pStyle w:val="a8"/>
              <w:ind w:firstLineChars="0" w:firstLine="0"/>
              <w:jc w:val="center"/>
              <w:rPr>
                <w:rFonts w:ascii="Times New Roman" w:eastAsiaTheme="minorEastAsia" w:hAnsi="Times New Roman"/>
                <w:sz w:val="21"/>
                <w:szCs w:val="21"/>
              </w:rPr>
            </w:pPr>
          </w:p>
        </w:tc>
        <w:tc>
          <w:tcPr>
            <w:tcW w:w="754" w:type="pct"/>
            <w:vMerge w:val="restart"/>
            <w:vAlign w:val="center"/>
          </w:tcPr>
          <w:p w:rsidR="00EC24A3" w:rsidRPr="00D70300" w:rsidRDefault="00EC24A3" w:rsidP="00D70300">
            <w:pPr>
              <w:jc w:val="center"/>
              <w:rPr>
                <w:color w:val="000000"/>
                <w:sz w:val="21"/>
                <w:szCs w:val="21"/>
              </w:rPr>
            </w:pPr>
            <w:r w:rsidRPr="00D70300">
              <w:rPr>
                <w:rFonts w:hint="eastAsia"/>
                <w:color w:val="000000"/>
                <w:sz w:val="21"/>
                <w:szCs w:val="21"/>
              </w:rPr>
              <w:t>校正后总熊去氧胆酸</w:t>
            </w:r>
          </w:p>
        </w:tc>
        <w:tc>
          <w:tcPr>
            <w:tcW w:w="1027" w:type="pct"/>
            <w:vAlign w:val="center"/>
          </w:tcPr>
          <w:p w:rsidR="00EC24A3" w:rsidRPr="009958B1" w:rsidRDefault="00EC24A3" w:rsidP="00D70300">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D70300">
            <w:pPr>
              <w:jc w:val="center"/>
              <w:rPr>
                <w:color w:val="000000"/>
                <w:sz w:val="21"/>
                <w:szCs w:val="21"/>
              </w:rPr>
            </w:pPr>
            <w:r>
              <w:rPr>
                <w:color w:val="000000"/>
                <w:sz w:val="21"/>
                <w:szCs w:val="21"/>
              </w:rPr>
              <w:t>5574.63</w:t>
            </w:r>
          </w:p>
        </w:tc>
        <w:tc>
          <w:tcPr>
            <w:tcW w:w="548" w:type="pct"/>
            <w:vAlign w:val="center"/>
          </w:tcPr>
          <w:p w:rsidR="00EC24A3" w:rsidRDefault="00EC24A3" w:rsidP="00D70300">
            <w:pPr>
              <w:jc w:val="center"/>
              <w:rPr>
                <w:color w:val="000000"/>
                <w:sz w:val="21"/>
                <w:szCs w:val="21"/>
              </w:rPr>
            </w:pPr>
            <w:r>
              <w:rPr>
                <w:color w:val="000000"/>
                <w:sz w:val="21"/>
                <w:szCs w:val="21"/>
              </w:rPr>
              <w:t>5770.69</w:t>
            </w:r>
          </w:p>
        </w:tc>
        <w:tc>
          <w:tcPr>
            <w:tcW w:w="616" w:type="pct"/>
            <w:vAlign w:val="center"/>
          </w:tcPr>
          <w:p w:rsidR="00EC24A3" w:rsidRDefault="00EC24A3" w:rsidP="00D70300">
            <w:pPr>
              <w:jc w:val="center"/>
              <w:rPr>
                <w:color w:val="000000"/>
                <w:sz w:val="21"/>
                <w:szCs w:val="21"/>
              </w:rPr>
            </w:pPr>
            <w:r>
              <w:rPr>
                <w:color w:val="000000"/>
                <w:sz w:val="21"/>
                <w:szCs w:val="21"/>
              </w:rPr>
              <w:t>96.60%</w:t>
            </w:r>
          </w:p>
        </w:tc>
        <w:tc>
          <w:tcPr>
            <w:tcW w:w="957" w:type="pct"/>
            <w:vAlign w:val="center"/>
          </w:tcPr>
          <w:p w:rsidR="00EC24A3" w:rsidRDefault="00EC24A3" w:rsidP="00D70300">
            <w:pPr>
              <w:jc w:val="center"/>
              <w:rPr>
                <w:color w:val="000000"/>
                <w:sz w:val="21"/>
                <w:szCs w:val="21"/>
              </w:rPr>
            </w:pPr>
            <w:r>
              <w:rPr>
                <w:color w:val="000000"/>
                <w:sz w:val="21"/>
                <w:szCs w:val="21"/>
              </w:rPr>
              <w:t>88.36%~105.60%</w:t>
            </w:r>
          </w:p>
        </w:tc>
      </w:tr>
      <w:tr w:rsidR="00EC24A3" w:rsidRPr="009958B1" w:rsidTr="00EC24A3">
        <w:trPr>
          <w:trHeight w:val="20"/>
          <w:jc w:val="center"/>
        </w:trPr>
        <w:tc>
          <w:tcPr>
            <w:tcW w:w="477" w:type="pct"/>
            <w:vMerge/>
          </w:tcPr>
          <w:p w:rsidR="00EC24A3" w:rsidRPr="009958B1" w:rsidRDefault="00EC24A3" w:rsidP="00D70300">
            <w:pPr>
              <w:pStyle w:val="a8"/>
              <w:ind w:firstLineChars="0" w:firstLine="0"/>
              <w:jc w:val="center"/>
              <w:rPr>
                <w:rFonts w:ascii="Times New Roman" w:eastAsiaTheme="minorEastAsia" w:hAnsi="Times New Roman"/>
                <w:sz w:val="21"/>
                <w:szCs w:val="21"/>
              </w:rPr>
            </w:pPr>
          </w:p>
        </w:tc>
        <w:tc>
          <w:tcPr>
            <w:tcW w:w="754" w:type="pct"/>
            <w:vMerge/>
            <w:vAlign w:val="center"/>
          </w:tcPr>
          <w:p w:rsidR="00EC24A3" w:rsidRPr="00D70300" w:rsidRDefault="00EC24A3" w:rsidP="00D70300">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D70300">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D70300">
            <w:pPr>
              <w:jc w:val="center"/>
              <w:rPr>
                <w:color w:val="000000"/>
                <w:sz w:val="21"/>
                <w:szCs w:val="21"/>
              </w:rPr>
            </w:pPr>
            <w:r>
              <w:rPr>
                <w:color w:val="000000"/>
                <w:sz w:val="21"/>
                <w:szCs w:val="21"/>
              </w:rPr>
              <w:t>67675.50</w:t>
            </w:r>
          </w:p>
        </w:tc>
        <w:tc>
          <w:tcPr>
            <w:tcW w:w="548" w:type="pct"/>
            <w:vAlign w:val="center"/>
          </w:tcPr>
          <w:p w:rsidR="00EC24A3" w:rsidRDefault="00EC24A3" w:rsidP="00D70300">
            <w:pPr>
              <w:jc w:val="center"/>
              <w:rPr>
                <w:color w:val="000000"/>
                <w:sz w:val="21"/>
                <w:szCs w:val="21"/>
              </w:rPr>
            </w:pPr>
            <w:r>
              <w:rPr>
                <w:color w:val="000000"/>
                <w:sz w:val="21"/>
                <w:szCs w:val="21"/>
              </w:rPr>
              <w:t>62089.90</w:t>
            </w:r>
          </w:p>
        </w:tc>
        <w:tc>
          <w:tcPr>
            <w:tcW w:w="616" w:type="pct"/>
            <w:vAlign w:val="center"/>
          </w:tcPr>
          <w:p w:rsidR="00EC24A3" w:rsidRDefault="00EC24A3" w:rsidP="00D70300">
            <w:pPr>
              <w:jc w:val="center"/>
              <w:rPr>
                <w:color w:val="000000"/>
                <w:sz w:val="21"/>
                <w:szCs w:val="21"/>
              </w:rPr>
            </w:pPr>
            <w:r>
              <w:rPr>
                <w:color w:val="000000"/>
                <w:sz w:val="21"/>
                <w:szCs w:val="21"/>
              </w:rPr>
              <w:t>108.99%</w:t>
            </w:r>
          </w:p>
        </w:tc>
        <w:tc>
          <w:tcPr>
            <w:tcW w:w="957" w:type="pct"/>
            <w:vAlign w:val="center"/>
          </w:tcPr>
          <w:p w:rsidR="00EC24A3" w:rsidRDefault="00EC24A3" w:rsidP="00D70300">
            <w:pPr>
              <w:jc w:val="center"/>
              <w:rPr>
                <w:color w:val="000000"/>
                <w:sz w:val="21"/>
                <w:szCs w:val="21"/>
              </w:rPr>
            </w:pPr>
            <w:r>
              <w:rPr>
                <w:color w:val="000000"/>
                <w:sz w:val="21"/>
                <w:szCs w:val="21"/>
              </w:rPr>
              <w:t>102.54%~115.85%</w:t>
            </w:r>
          </w:p>
        </w:tc>
      </w:tr>
      <w:tr w:rsidR="00EC24A3" w:rsidRPr="009958B1" w:rsidTr="00EC24A3">
        <w:trPr>
          <w:trHeight w:val="20"/>
          <w:jc w:val="center"/>
        </w:trPr>
        <w:tc>
          <w:tcPr>
            <w:tcW w:w="477" w:type="pct"/>
            <w:vMerge/>
          </w:tcPr>
          <w:p w:rsidR="00EC24A3" w:rsidRPr="009958B1" w:rsidRDefault="00EC24A3" w:rsidP="00D70300">
            <w:pPr>
              <w:pStyle w:val="a8"/>
              <w:ind w:firstLineChars="0" w:firstLine="0"/>
              <w:jc w:val="center"/>
              <w:rPr>
                <w:rFonts w:ascii="Times New Roman" w:eastAsiaTheme="minorEastAsia" w:hAnsi="Times New Roman"/>
                <w:sz w:val="21"/>
                <w:szCs w:val="21"/>
              </w:rPr>
            </w:pPr>
          </w:p>
        </w:tc>
        <w:tc>
          <w:tcPr>
            <w:tcW w:w="754" w:type="pct"/>
            <w:vMerge w:val="restart"/>
            <w:vAlign w:val="center"/>
          </w:tcPr>
          <w:p w:rsidR="00EC24A3" w:rsidRPr="00D70300" w:rsidRDefault="00EC24A3" w:rsidP="00D70300">
            <w:pPr>
              <w:jc w:val="center"/>
              <w:rPr>
                <w:color w:val="000000"/>
                <w:sz w:val="21"/>
                <w:szCs w:val="21"/>
              </w:rPr>
            </w:pPr>
            <w:r w:rsidRPr="00D70300">
              <w:rPr>
                <w:rFonts w:hint="eastAsia"/>
                <w:color w:val="000000"/>
                <w:sz w:val="21"/>
                <w:szCs w:val="21"/>
              </w:rPr>
              <w:t>校正后游离熊去氧胆酸</w:t>
            </w:r>
          </w:p>
        </w:tc>
        <w:tc>
          <w:tcPr>
            <w:tcW w:w="1027" w:type="pct"/>
            <w:vAlign w:val="center"/>
          </w:tcPr>
          <w:p w:rsidR="00EC24A3" w:rsidRPr="009958B1" w:rsidRDefault="00EC24A3" w:rsidP="00D70300">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D70300">
            <w:pPr>
              <w:jc w:val="center"/>
              <w:rPr>
                <w:color w:val="000000"/>
                <w:sz w:val="21"/>
                <w:szCs w:val="21"/>
              </w:rPr>
            </w:pPr>
            <w:r>
              <w:rPr>
                <w:color w:val="000000"/>
                <w:sz w:val="21"/>
                <w:szCs w:val="21"/>
              </w:rPr>
              <w:t>4813.89</w:t>
            </w:r>
          </w:p>
        </w:tc>
        <w:tc>
          <w:tcPr>
            <w:tcW w:w="548" w:type="pct"/>
            <w:vAlign w:val="center"/>
          </w:tcPr>
          <w:p w:rsidR="00EC24A3" w:rsidRDefault="00EC24A3" w:rsidP="00D70300">
            <w:pPr>
              <w:jc w:val="center"/>
              <w:rPr>
                <w:color w:val="000000"/>
                <w:sz w:val="21"/>
                <w:szCs w:val="21"/>
              </w:rPr>
            </w:pPr>
            <w:r>
              <w:rPr>
                <w:color w:val="000000"/>
                <w:sz w:val="21"/>
                <w:szCs w:val="21"/>
              </w:rPr>
              <w:t>5050.46</w:t>
            </w:r>
          </w:p>
        </w:tc>
        <w:tc>
          <w:tcPr>
            <w:tcW w:w="616" w:type="pct"/>
            <w:vAlign w:val="center"/>
          </w:tcPr>
          <w:p w:rsidR="00EC24A3" w:rsidRDefault="00EC24A3" w:rsidP="00D70300">
            <w:pPr>
              <w:jc w:val="center"/>
              <w:rPr>
                <w:color w:val="000000"/>
                <w:sz w:val="21"/>
                <w:szCs w:val="21"/>
              </w:rPr>
            </w:pPr>
            <w:r>
              <w:rPr>
                <w:color w:val="000000"/>
                <w:sz w:val="21"/>
                <w:szCs w:val="21"/>
              </w:rPr>
              <w:t>95.31%</w:t>
            </w:r>
          </w:p>
        </w:tc>
        <w:tc>
          <w:tcPr>
            <w:tcW w:w="957" w:type="pct"/>
            <w:vAlign w:val="center"/>
          </w:tcPr>
          <w:p w:rsidR="00EC24A3" w:rsidRDefault="00EC24A3" w:rsidP="00D70300">
            <w:pPr>
              <w:jc w:val="center"/>
              <w:rPr>
                <w:color w:val="000000"/>
                <w:sz w:val="21"/>
                <w:szCs w:val="21"/>
              </w:rPr>
            </w:pPr>
            <w:r>
              <w:rPr>
                <w:color w:val="000000"/>
                <w:sz w:val="21"/>
                <w:szCs w:val="21"/>
              </w:rPr>
              <w:t>86.62%~104.87%</w:t>
            </w:r>
          </w:p>
        </w:tc>
      </w:tr>
      <w:tr w:rsidR="00EC24A3" w:rsidRPr="009958B1" w:rsidTr="00EC24A3">
        <w:trPr>
          <w:trHeight w:val="20"/>
          <w:jc w:val="center"/>
        </w:trPr>
        <w:tc>
          <w:tcPr>
            <w:tcW w:w="477" w:type="pct"/>
            <w:vMerge/>
          </w:tcPr>
          <w:p w:rsidR="00EC24A3" w:rsidRPr="009958B1" w:rsidRDefault="00EC24A3" w:rsidP="00D70300">
            <w:pPr>
              <w:pStyle w:val="a8"/>
              <w:ind w:firstLineChars="0" w:firstLine="0"/>
              <w:jc w:val="center"/>
              <w:rPr>
                <w:rFonts w:ascii="Times New Roman" w:eastAsiaTheme="minorEastAsia" w:hAnsi="Times New Roman"/>
                <w:szCs w:val="21"/>
              </w:rPr>
            </w:pPr>
          </w:p>
        </w:tc>
        <w:tc>
          <w:tcPr>
            <w:tcW w:w="754" w:type="pct"/>
            <w:vMerge/>
          </w:tcPr>
          <w:p w:rsidR="00EC24A3" w:rsidRPr="009958B1" w:rsidRDefault="00EC24A3" w:rsidP="00D70300">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D70300">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D70300">
            <w:pPr>
              <w:jc w:val="center"/>
              <w:rPr>
                <w:color w:val="000000"/>
                <w:sz w:val="21"/>
                <w:szCs w:val="21"/>
              </w:rPr>
            </w:pPr>
            <w:r>
              <w:rPr>
                <w:color w:val="000000"/>
                <w:sz w:val="21"/>
                <w:szCs w:val="21"/>
              </w:rPr>
              <w:t>19874.66</w:t>
            </w:r>
          </w:p>
        </w:tc>
        <w:tc>
          <w:tcPr>
            <w:tcW w:w="548" w:type="pct"/>
            <w:vAlign w:val="center"/>
          </w:tcPr>
          <w:p w:rsidR="00EC24A3" w:rsidRDefault="00EC24A3" w:rsidP="00D70300">
            <w:pPr>
              <w:jc w:val="center"/>
              <w:rPr>
                <w:color w:val="000000"/>
                <w:sz w:val="21"/>
                <w:szCs w:val="21"/>
              </w:rPr>
            </w:pPr>
            <w:r>
              <w:rPr>
                <w:color w:val="000000"/>
                <w:sz w:val="21"/>
                <w:szCs w:val="21"/>
              </w:rPr>
              <w:t>19451.05</w:t>
            </w:r>
          </w:p>
        </w:tc>
        <w:tc>
          <w:tcPr>
            <w:tcW w:w="616" w:type="pct"/>
            <w:vAlign w:val="center"/>
          </w:tcPr>
          <w:p w:rsidR="00EC24A3" w:rsidRDefault="00EC24A3" w:rsidP="00D70300">
            <w:pPr>
              <w:jc w:val="center"/>
              <w:rPr>
                <w:color w:val="000000"/>
                <w:sz w:val="21"/>
                <w:szCs w:val="21"/>
              </w:rPr>
            </w:pPr>
            <w:r>
              <w:rPr>
                <w:color w:val="000000"/>
                <w:sz w:val="21"/>
                <w:szCs w:val="21"/>
              </w:rPr>
              <w:t>102.17%</w:t>
            </w:r>
          </w:p>
        </w:tc>
        <w:tc>
          <w:tcPr>
            <w:tcW w:w="957" w:type="pct"/>
            <w:vAlign w:val="center"/>
          </w:tcPr>
          <w:p w:rsidR="00EC24A3" w:rsidRDefault="00EC24A3" w:rsidP="00D70300">
            <w:pPr>
              <w:jc w:val="center"/>
              <w:rPr>
                <w:color w:val="000000"/>
                <w:sz w:val="21"/>
                <w:szCs w:val="21"/>
              </w:rPr>
            </w:pPr>
            <w:r>
              <w:rPr>
                <w:color w:val="000000"/>
                <w:sz w:val="21"/>
                <w:szCs w:val="21"/>
              </w:rPr>
              <w:t>97.41%~107.17%</w:t>
            </w:r>
          </w:p>
        </w:tc>
      </w:tr>
      <w:tr w:rsidR="00EC24A3" w:rsidRPr="009958B1" w:rsidTr="00EC24A3">
        <w:trPr>
          <w:trHeight w:val="20"/>
          <w:jc w:val="center"/>
        </w:trPr>
        <w:tc>
          <w:tcPr>
            <w:tcW w:w="477" w:type="pct"/>
            <w:vMerge/>
            <w:vAlign w:val="center"/>
          </w:tcPr>
          <w:p w:rsidR="00EC24A3" w:rsidRDefault="00EC24A3" w:rsidP="00EC24A3">
            <w:pPr>
              <w:pStyle w:val="a8"/>
              <w:ind w:firstLineChars="0" w:firstLine="0"/>
              <w:jc w:val="center"/>
              <w:rPr>
                <w:rFonts w:ascii="Times New Roman" w:eastAsiaTheme="minorEastAsia" w:hAnsi="Times New Roman"/>
                <w:szCs w:val="21"/>
              </w:rPr>
            </w:pPr>
          </w:p>
        </w:tc>
        <w:tc>
          <w:tcPr>
            <w:tcW w:w="754" w:type="pct"/>
            <w:vMerge w:val="restart"/>
          </w:tcPr>
          <w:p w:rsidR="00EC24A3" w:rsidRPr="009958B1" w:rsidRDefault="00EC24A3" w:rsidP="00EC24A3">
            <w:pPr>
              <w:pStyle w:val="a8"/>
              <w:ind w:firstLineChars="0" w:firstLine="0"/>
              <w:jc w:val="center"/>
              <w:rPr>
                <w:rFonts w:ascii="Times New Roman" w:eastAsiaTheme="minorEastAsia" w:hAnsi="Times New Roman"/>
                <w:szCs w:val="21"/>
              </w:rPr>
            </w:pPr>
            <w:r w:rsidRPr="00D70300">
              <w:rPr>
                <w:rFonts w:ascii="Times New Roman" w:eastAsiaTheme="minorEastAsia" w:hAnsi="Times New Roman" w:hint="eastAsia"/>
                <w:szCs w:val="21"/>
              </w:rPr>
              <w:t>未</w:t>
            </w:r>
            <w:proofErr w:type="gramStart"/>
            <w:r w:rsidRPr="00D70300">
              <w:rPr>
                <w:rFonts w:ascii="Times New Roman" w:eastAsiaTheme="minorEastAsia" w:hAnsi="Times New Roman" w:hint="eastAsia"/>
                <w:szCs w:val="21"/>
              </w:rPr>
              <w:t>校正总熊</w:t>
            </w:r>
            <w:proofErr w:type="gramEnd"/>
            <w:r w:rsidRPr="00D70300">
              <w:rPr>
                <w:rFonts w:ascii="Times New Roman" w:eastAsiaTheme="minorEastAsia" w:hAnsi="Times New Roman" w:hint="eastAsia"/>
                <w:szCs w:val="21"/>
              </w:rPr>
              <w:t>去氧胆酸</w:t>
            </w: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EC24A3">
            <w:pPr>
              <w:jc w:val="center"/>
              <w:rPr>
                <w:color w:val="000000"/>
                <w:sz w:val="21"/>
                <w:szCs w:val="21"/>
              </w:rPr>
            </w:pPr>
            <w:r>
              <w:rPr>
                <w:color w:val="000000"/>
                <w:sz w:val="21"/>
                <w:szCs w:val="21"/>
              </w:rPr>
              <w:t>6341.32</w:t>
            </w:r>
          </w:p>
        </w:tc>
        <w:tc>
          <w:tcPr>
            <w:tcW w:w="548" w:type="pct"/>
            <w:vAlign w:val="center"/>
          </w:tcPr>
          <w:p w:rsidR="00EC24A3" w:rsidRDefault="00EC24A3" w:rsidP="00EC24A3">
            <w:pPr>
              <w:jc w:val="center"/>
              <w:rPr>
                <w:color w:val="000000"/>
                <w:sz w:val="21"/>
                <w:szCs w:val="21"/>
              </w:rPr>
            </w:pPr>
            <w:r>
              <w:rPr>
                <w:color w:val="000000"/>
                <w:sz w:val="21"/>
                <w:szCs w:val="21"/>
              </w:rPr>
              <w:t>6446.13</w:t>
            </w:r>
          </w:p>
        </w:tc>
        <w:tc>
          <w:tcPr>
            <w:tcW w:w="616" w:type="pct"/>
            <w:vAlign w:val="center"/>
          </w:tcPr>
          <w:p w:rsidR="00EC24A3" w:rsidRDefault="00EC24A3" w:rsidP="00EC24A3">
            <w:pPr>
              <w:jc w:val="center"/>
              <w:rPr>
                <w:color w:val="000000"/>
                <w:sz w:val="21"/>
                <w:szCs w:val="21"/>
              </w:rPr>
            </w:pPr>
            <w:r>
              <w:rPr>
                <w:color w:val="000000"/>
                <w:sz w:val="21"/>
                <w:szCs w:val="21"/>
              </w:rPr>
              <w:t>98.37%</w:t>
            </w:r>
          </w:p>
        </w:tc>
        <w:tc>
          <w:tcPr>
            <w:tcW w:w="957" w:type="pct"/>
            <w:vAlign w:val="center"/>
          </w:tcPr>
          <w:p w:rsidR="00EC24A3" w:rsidRDefault="00EC24A3" w:rsidP="00EC24A3">
            <w:pPr>
              <w:jc w:val="center"/>
              <w:rPr>
                <w:color w:val="000000"/>
                <w:sz w:val="21"/>
                <w:szCs w:val="21"/>
              </w:rPr>
            </w:pPr>
            <w:r>
              <w:rPr>
                <w:color w:val="000000"/>
                <w:sz w:val="21"/>
                <w:szCs w:val="21"/>
              </w:rPr>
              <w:t>90.01%~107.50%</w:t>
            </w:r>
          </w:p>
        </w:tc>
      </w:tr>
      <w:tr w:rsidR="00EC24A3" w:rsidRPr="009958B1" w:rsidTr="00EC24A3">
        <w:trPr>
          <w:trHeight w:val="20"/>
          <w:jc w:val="center"/>
        </w:trPr>
        <w:tc>
          <w:tcPr>
            <w:tcW w:w="477" w:type="pct"/>
            <w:vMerge/>
            <w:vAlign w:val="center"/>
          </w:tcPr>
          <w:p w:rsidR="00EC24A3" w:rsidRDefault="00EC24A3" w:rsidP="00EC24A3">
            <w:pPr>
              <w:pStyle w:val="a8"/>
              <w:ind w:firstLineChars="0" w:firstLine="0"/>
              <w:jc w:val="center"/>
              <w:rPr>
                <w:rFonts w:ascii="Times New Roman" w:eastAsiaTheme="minorEastAsia" w:hAnsi="Times New Roman"/>
                <w:szCs w:val="21"/>
              </w:rPr>
            </w:pPr>
          </w:p>
        </w:tc>
        <w:tc>
          <w:tcPr>
            <w:tcW w:w="754"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EC24A3">
            <w:pPr>
              <w:jc w:val="center"/>
              <w:rPr>
                <w:color w:val="000000"/>
                <w:sz w:val="21"/>
                <w:szCs w:val="21"/>
              </w:rPr>
            </w:pPr>
            <w:r>
              <w:rPr>
                <w:color w:val="000000"/>
                <w:sz w:val="21"/>
                <w:szCs w:val="21"/>
              </w:rPr>
              <w:t>77585.30</w:t>
            </w:r>
          </w:p>
        </w:tc>
        <w:tc>
          <w:tcPr>
            <w:tcW w:w="548" w:type="pct"/>
            <w:vAlign w:val="center"/>
          </w:tcPr>
          <w:p w:rsidR="00EC24A3" w:rsidRDefault="00EC24A3" w:rsidP="00EC24A3">
            <w:pPr>
              <w:jc w:val="center"/>
              <w:rPr>
                <w:color w:val="000000"/>
                <w:sz w:val="21"/>
                <w:szCs w:val="21"/>
              </w:rPr>
            </w:pPr>
            <w:r>
              <w:rPr>
                <w:color w:val="000000"/>
                <w:sz w:val="21"/>
                <w:szCs w:val="21"/>
              </w:rPr>
              <w:t>70684.76</w:t>
            </w:r>
          </w:p>
        </w:tc>
        <w:tc>
          <w:tcPr>
            <w:tcW w:w="616" w:type="pct"/>
            <w:vAlign w:val="center"/>
          </w:tcPr>
          <w:p w:rsidR="00EC24A3" w:rsidRDefault="00EC24A3" w:rsidP="00EC24A3">
            <w:pPr>
              <w:jc w:val="center"/>
              <w:rPr>
                <w:color w:val="000000"/>
                <w:sz w:val="21"/>
                <w:szCs w:val="21"/>
              </w:rPr>
            </w:pPr>
            <w:r>
              <w:rPr>
                <w:color w:val="000000"/>
                <w:sz w:val="21"/>
                <w:szCs w:val="21"/>
              </w:rPr>
              <w:t>109.76%</w:t>
            </w:r>
          </w:p>
        </w:tc>
        <w:tc>
          <w:tcPr>
            <w:tcW w:w="957" w:type="pct"/>
            <w:vAlign w:val="center"/>
          </w:tcPr>
          <w:p w:rsidR="00EC24A3" w:rsidRDefault="00EC24A3" w:rsidP="00EC24A3">
            <w:pPr>
              <w:jc w:val="center"/>
              <w:rPr>
                <w:color w:val="000000"/>
                <w:sz w:val="21"/>
                <w:szCs w:val="21"/>
              </w:rPr>
            </w:pPr>
            <w:r>
              <w:rPr>
                <w:color w:val="000000"/>
                <w:sz w:val="21"/>
                <w:szCs w:val="21"/>
              </w:rPr>
              <w:t>103.63%~116.24%</w:t>
            </w:r>
          </w:p>
        </w:tc>
      </w:tr>
      <w:tr w:rsidR="00EC24A3" w:rsidRPr="009958B1" w:rsidTr="00EC24A3">
        <w:trPr>
          <w:trHeight w:val="20"/>
          <w:jc w:val="center"/>
        </w:trPr>
        <w:tc>
          <w:tcPr>
            <w:tcW w:w="477" w:type="pct"/>
            <w:vMerge/>
            <w:vAlign w:val="center"/>
          </w:tcPr>
          <w:p w:rsidR="00EC24A3" w:rsidRDefault="00EC24A3" w:rsidP="00EC24A3">
            <w:pPr>
              <w:pStyle w:val="a8"/>
              <w:ind w:firstLineChars="0" w:firstLine="0"/>
              <w:jc w:val="center"/>
              <w:rPr>
                <w:rFonts w:ascii="Times New Roman" w:eastAsiaTheme="minorEastAsia" w:hAnsi="Times New Roman"/>
                <w:szCs w:val="21"/>
              </w:rPr>
            </w:pPr>
          </w:p>
        </w:tc>
        <w:tc>
          <w:tcPr>
            <w:tcW w:w="754" w:type="pct"/>
            <w:vMerge w:val="restart"/>
          </w:tcPr>
          <w:p w:rsidR="00EC24A3" w:rsidRPr="009958B1" w:rsidRDefault="00EC24A3" w:rsidP="00EC24A3">
            <w:pPr>
              <w:pStyle w:val="a8"/>
              <w:ind w:firstLineChars="0" w:firstLine="0"/>
              <w:jc w:val="center"/>
              <w:rPr>
                <w:rFonts w:ascii="Times New Roman" w:eastAsiaTheme="minorEastAsia" w:hAnsi="Times New Roman"/>
                <w:szCs w:val="21"/>
              </w:rPr>
            </w:pPr>
            <w:r w:rsidRPr="00D70300">
              <w:rPr>
                <w:rFonts w:ascii="Times New Roman" w:eastAsiaTheme="minorEastAsia" w:hAnsi="Times New Roman" w:hint="eastAsia"/>
                <w:szCs w:val="21"/>
              </w:rPr>
              <w:t>未校正游离熊去氧胆酸</w:t>
            </w: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EC24A3">
            <w:pPr>
              <w:jc w:val="center"/>
              <w:rPr>
                <w:color w:val="000000"/>
                <w:sz w:val="21"/>
                <w:szCs w:val="21"/>
              </w:rPr>
            </w:pPr>
            <w:r>
              <w:rPr>
                <w:color w:val="000000"/>
                <w:sz w:val="21"/>
                <w:szCs w:val="21"/>
              </w:rPr>
              <w:t>4851.03</w:t>
            </w:r>
          </w:p>
        </w:tc>
        <w:tc>
          <w:tcPr>
            <w:tcW w:w="548" w:type="pct"/>
            <w:vAlign w:val="center"/>
          </w:tcPr>
          <w:p w:rsidR="00EC24A3" w:rsidRDefault="00EC24A3" w:rsidP="00EC24A3">
            <w:pPr>
              <w:jc w:val="center"/>
              <w:rPr>
                <w:color w:val="000000"/>
                <w:sz w:val="21"/>
                <w:szCs w:val="21"/>
              </w:rPr>
            </w:pPr>
            <w:r>
              <w:rPr>
                <w:color w:val="000000"/>
                <w:sz w:val="21"/>
                <w:szCs w:val="21"/>
              </w:rPr>
              <w:t>5109.56</w:t>
            </w:r>
          </w:p>
        </w:tc>
        <w:tc>
          <w:tcPr>
            <w:tcW w:w="616" w:type="pct"/>
            <w:vAlign w:val="center"/>
          </w:tcPr>
          <w:p w:rsidR="00EC24A3" w:rsidRDefault="00EC24A3" w:rsidP="00EC24A3">
            <w:pPr>
              <w:jc w:val="center"/>
              <w:rPr>
                <w:color w:val="000000"/>
                <w:sz w:val="21"/>
                <w:szCs w:val="21"/>
              </w:rPr>
            </w:pPr>
            <w:r>
              <w:rPr>
                <w:color w:val="000000"/>
                <w:sz w:val="21"/>
                <w:szCs w:val="21"/>
              </w:rPr>
              <w:t>94.94%</w:t>
            </w:r>
          </w:p>
        </w:tc>
        <w:tc>
          <w:tcPr>
            <w:tcW w:w="957" w:type="pct"/>
            <w:vAlign w:val="center"/>
          </w:tcPr>
          <w:p w:rsidR="00EC24A3" w:rsidRDefault="00EC24A3" w:rsidP="00EC24A3">
            <w:pPr>
              <w:jc w:val="center"/>
              <w:rPr>
                <w:color w:val="000000"/>
                <w:sz w:val="21"/>
                <w:szCs w:val="21"/>
              </w:rPr>
            </w:pPr>
            <w:r>
              <w:rPr>
                <w:color w:val="000000"/>
                <w:sz w:val="21"/>
                <w:szCs w:val="21"/>
              </w:rPr>
              <w:t>86.25%~104.49%</w:t>
            </w:r>
          </w:p>
        </w:tc>
      </w:tr>
      <w:tr w:rsidR="00EC24A3" w:rsidRPr="009958B1" w:rsidTr="00EC24A3">
        <w:trPr>
          <w:trHeight w:val="20"/>
          <w:jc w:val="center"/>
        </w:trPr>
        <w:tc>
          <w:tcPr>
            <w:tcW w:w="477" w:type="pct"/>
            <w:vMerge/>
            <w:vAlign w:val="center"/>
          </w:tcPr>
          <w:p w:rsidR="00EC24A3" w:rsidRDefault="00EC24A3" w:rsidP="00EC24A3">
            <w:pPr>
              <w:pStyle w:val="a8"/>
              <w:ind w:firstLineChars="0" w:firstLine="0"/>
              <w:jc w:val="center"/>
              <w:rPr>
                <w:rFonts w:ascii="Times New Roman" w:eastAsiaTheme="minorEastAsia" w:hAnsi="Times New Roman"/>
                <w:szCs w:val="21"/>
              </w:rPr>
            </w:pPr>
          </w:p>
        </w:tc>
        <w:tc>
          <w:tcPr>
            <w:tcW w:w="754"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vAlign w:val="center"/>
          </w:tcPr>
          <w:p w:rsidR="00EC24A3" w:rsidRDefault="00EC24A3" w:rsidP="00EC24A3">
            <w:pPr>
              <w:jc w:val="center"/>
              <w:rPr>
                <w:color w:val="000000"/>
                <w:sz w:val="21"/>
                <w:szCs w:val="21"/>
              </w:rPr>
            </w:pPr>
            <w:r>
              <w:rPr>
                <w:color w:val="000000"/>
                <w:sz w:val="21"/>
                <w:szCs w:val="21"/>
              </w:rPr>
              <w:t>22667.35</w:t>
            </w:r>
          </w:p>
        </w:tc>
        <w:tc>
          <w:tcPr>
            <w:tcW w:w="548" w:type="pct"/>
            <w:vAlign w:val="center"/>
          </w:tcPr>
          <w:p w:rsidR="00EC24A3" w:rsidRDefault="00EC24A3" w:rsidP="00EC24A3">
            <w:pPr>
              <w:jc w:val="center"/>
              <w:rPr>
                <w:color w:val="000000"/>
                <w:sz w:val="21"/>
                <w:szCs w:val="21"/>
              </w:rPr>
            </w:pPr>
            <w:r>
              <w:rPr>
                <w:color w:val="000000"/>
                <w:sz w:val="21"/>
                <w:szCs w:val="21"/>
              </w:rPr>
              <w:t>22256.07</w:t>
            </w:r>
          </w:p>
        </w:tc>
        <w:tc>
          <w:tcPr>
            <w:tcW w:w="616" w:type="pct"/>
            <w:vAlign w:val="center"/>
          </w:tcPr>
          <w:p w:rsidR="00EC24A3" w:rsidRDefault="00EC24A3" w:rsidP="00EC24A3">
            <w:pPr>
              <w:jc w:val="center"/>
              <w:rPr>
                <w:color w:val="000000"/>
                <w:sz w:val="21"/>
                <w:szCs w:val="21"/>
              </w:rPr>
            </w:pPr>
            <w:r>
              <w:rPr>
                <w:color w:val="000000"/>
                <w:sz w:val="21"/>
                <w:szCs w:val="21"/>
              </w:rPr>
              <w:t>101.84%</w:t>
            </w:r>
          </w:p>
        </w:tc>
        <w:tc>
          <w:tcPr>
            <w:tcW w:w="957" w:type="pct"/>
            <w:vAlign w:val="center"/>
          </w:tcPr>
          <w:p w:rsidR="00EC24A3" w:rsidRDefault="00EC24A3" w:rsidP="00EC24A3">
            <w:pPr>
              <w:jc w:val="center"/>
              <w:rPr>
                <w:color w:val="000000"/>
                <w:sz w:val="21"/>
                <w:szCs w:val="21"/>
              </w:rPr>
            </w:pPr>
            <w:r>
              <w:rPr>
                <w:color w:val="000000"/>
                <w:sz w:val="21"/>
                <w:szCs w:val="21"/>
              </w:rPr>
              <w:t>97.55%~106.32%</w:t>
            </w:r>
          </w:p>
        </w:tc>
      </w:tr>
      <w:tr w:rsidR="00EC24A3" w:rsidRPr="009958B1" w:rsidTr="00EC24A3">
        <w:trPr>
          <w:trHeight w:val="20"/>
          <w:jc w:val="center"/>
        </w:trPr>
        <w:tc>
          <w:tcPr>
            <w:tcW w:w="477" w:type="pct"/>
            <w:vMerge w:val="restar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Pr>
                <w:rFonts w:ascii="Times New Roman" w:eastAsiaTheme="minorEastAsia" w:hAnsi="Times New Roman" w:hint="eastAsia"/>
                <w:sz w:val="21"/>
                <w:szCs w:val="21"/>
              </w:rPr>
              <w:t>餐后</w:t>
            </w:r>
          </w:p>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BE</w:t>
            </w:r>
          </w:p>
          <w:p w:rsidR="00EC24A3" w:rsidRPr="009958B1" w:rsidRDefault="00EC24A3" w:rsidP="00EC24A3">
            <w:pPr>
              <w:pStyle w:val="a8"/>
              <w:ind w:firstLineChars="0" w:firstLine="0"/>
              <w:rPr>
                <w:rFonts w:ascii="Times New Roman" w:eastAsiaTheme="minorEastAsia" w:hAnsi="Times New Roman"/>
                <w:sz w:val="21"/>
                <w:szCs w:val="21"/>
              </w:rPr>
            </w:pP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n=</w:t>
            </w:r>
            <w:r>
              <w:rPr>
                <w:rFonts w:ascii="Times New Roman" w:eastAsiaTheme="minorEastAsia" w:hAnsi="Times New Roman"/>
                <w:sz w:val="21"/>
                <w:szCs w:val="21"/>
              </w:rPr>
              <w:t>47</w:t>
            </w:r>
            <w:r w:rsidRPr="009958B1">
              <w:rPr>
                <w:rFonts w:ascii="Times New Roman" w:eastAsiaTheme="minorEastAsia" w:hAnsi="Times New Roman"/>
                <w:sz w:val="21"/>
                <w:szCs w:val="21"/>
              </w:rPr>
              <w:t>）</w:t>
            </w:r>
          </w:p>
        </w:tc>
        <w:tc>
          <w:tcPr>
            <w:tcW w:w="754" w:type="pct"/>
            <w:vMerge w:val="restart"/>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1027" w:type="pct"/>
            <w:vMerge w:val="restar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参数</w:t>
            </w:r>
          </w:p>
        </w:tc>
        <w:tc>
          <w:tcPr>
            <w:tcW w:w="1786" w:type="pct"/>
            <w:gridSpan w:val="3"/>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几何均值及比值</w:t>
            </w:r>
          </w:p>
        </w:tc>
        <w:tc>
          <w:tcPr>
            <w:tcW w:w="957" w:type="pct"/>
            <w:vMerge w:val="restar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90%CI</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 w:val="21"/>
                <w:szCs w:val="21"/>
              </w:rPr>
            </w:pPr>
          </w:p>
        </w:tc>
        <w:tc>
          <w:tcPr>
            <w:tcW w:w="754"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1027" w:type="pct"/>
            <w:vMerge/>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
        </w:tc>
        <w:tc>
          <w:tcPr>
            <w:tcW w:w="622" w:type="pct"/>
            <w:tcBorders>
              <w:bottom w:val="single" w:sz="4" w:space="0" w:color="auto"/>
            </w:tcBorders>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T</w:t>
            </w:r>
          </w:p>
        </w:tc>
        <w:tc>
          <w:tcPr>
            <w:tcW w:w="548" w:type="pct"/>
            <w:tcBorders>
              <w:bottom w:val="single" w:sz="4" w:space="0" w:color="auto"/>
            </w:tcBorders>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R</w:t>
            </w:r>
          </w:p>
        </w:tc>
        <w:tc>
          <w:tcPr>
            <w:tcW w:w="616" w:type="pct"/>
            <w:tcBorders>
              <w:bottom w:val="single" w:sz="4" w:space="0" w:color="auto"/>
            </w:tcBorders>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T/R</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w:t>
            </w:r>
          </w:p>
        </w:tc>
        <w:tc>
          <w:tcPr>
            <w:tcW w:w="957" w:type="pct"/>
            <w:vMerge/>
            <w:tcBorders>
              <w:bottom w:val="single" w:sz="4" w:space="0" w:color="auto"/>
            </w:tcBorders>
          </w:tcPr>
          <w:p w:rsidR="00EC24A3" w:rsidRPr="009958B1" w:rsidRDefault="00EC24A3" w:rsidP="00EC24A3">
            <w:pPr>
              <w:pStyle w:val="a8"/>
              <w:ind w:firstLineChars="0" w:firstLine="0"/>
              <w:jc w:val="center"/>
              <w:rPr>
                <w:rFonts w:ascii="Times New Roman" w:eastAsiaTheme="minorEastAsia" w:hAnsi="Times New Roman"/>
                <w:sz w:val="21"/>
                <w:szCs w:val="21"/>
              </w:rPr>
            </w:pP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 w:val="21"/>
                <w:szCs w:val="21"/>
              </w:rPr>
            </w:pPr>
          </w:p>
        </w:tc>
        <w:tc>
          <w:tcPr>
            <w:tcW w:w="754" w:type="pct"/>
            <w:vMerge w:val="restart"/>
            <w:vAlign w:val="center"/>
          </w:tcPr>
          <w:p w:rsidR="00EC24A3" w:rsidRPr="009958B1" w:rsidRDefault="00EC24A3" w:rsidP="00EC24A3">
            <w:pPr>
              <w:pStyle w:val="a8"/>
              <w:ind w:firstLineChars="0" w:firstLine="0"/>
              <w:jc w:val="center"/>
              <w:rPr>
                <w:rFonts w:ascii="Times New Roman" w:eastAsiaTheme="minorEastAsia" w:hAnsi="Times New Roman"/>
                <w:szCs w:val="21"/>
              </w:rPr>
            </w:pPr>
            <w:r w:rsidRPr="00D70300">
              <w:rPr>
                <w:rFonts w:hint="eastAsia"/>
                <w:color w:val="000000"/>
                <w:sz w:val="21"/>
                <w:szCs w:val="21"/>
              </w:rPr>
              <w:t>校正后总熊去氧胆酸</w:t>
            </w: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7309.46</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7567.79</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96.58%</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88.82%~105.02%</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 w:val="21"/>
                <w:szCs w:val="21"/>
              </w:rPr>
            </w:pPr>
          </w:p>
        </w:tc>
        <w:tc>
          <w:tcPr>
            <w:tcW w:w="754" w:type="pct"/>
            <w:vMerge/>
            <w:vAlign w:val="center"/>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98008.16</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93765.74</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104.52%</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100.12%~109.12%</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 w:val="21"/>
                <w:szCs w:val="21"/>
              </w:rPr>
            </w:pPr>
          </w:p>
        </w:tc>
        <w:tc>
          <w:tcPr>
            <w:tcW w:w="754" w:type="pct"/>
            <w:vMerge w:val="restart"/>
            <w:vAlign w:val="center"/>
          </w:tcPr>
          <w:p w:rsidR="00EC24A3" w:rsidRPr="009958B1" w:rsidRDefault="00EC24A3" w:rsidP="00EC24A3">
            <w:pPr>
              <w:pStyle w:val="a8"/>
              <w:ind w:firstLineChars="0" w:firstLine="0"/>
              <w:jc w:val="center"/>
              <w:rPr>
                <w:rFonts w:ascii="Times New Roman" w:eastAsiaTheme="minorEastAsia" w:hAnsi="Times New Roman"/>
                <w:szCs w:val="21"/>
              </w:rPr>
            </w:pPr>
            <w:r w:rsidRPr="00D70300">
              <w:rPr>
                <w:rFonts w:hint="eastAsia"/>
                <w:color w:val="000000"/>
                <w:sz w:val="21"/>
                <w:szCs w:val="21"/>
              </w:rPr>
              <w:t>校正后游离熊去氧胆酸</w:t>
            </w: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5861.74</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6067.30</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96.61%</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87.26%~106.96%</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754" w:type="pct"/>
            <w:vMerge/>
            <w:vAlign w:val="center"/>
          </w:tcPr>
          <w:p w:rsidR="00EC24A3" w:rsidRPr="00D70300" w:rsidRDefault="00EC24A3" w:rsidP="00EC24A3">
            <w:pPr>
              <w:pStyle w:val="a8"/>
              <w:ind w:firstLineChars="0" w:firstLine="0"/>
              <w:jc w:val="center"/>
              <w:rPr>
                <w:color w:val="000000"/>
                <w:szCs w:val="21"/>
              </w:rPr>
            </w:pP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27064.02</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25996.99</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104.10%</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98.71%~109.78%</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754" w:type="pct"/>
            <w:vMerge w:val="restart"/>
          </w:tcPr>
          <w:p w:rsidR="00EC24A3" w:rsidRPr="009958B1" w:rsidRDefault="00EC24A3" w:rsidP="00EC24A3">
            <w:pPr>
              <w:pStyle w:val="a8"/>
              <w:ind w:firstLineChars="0" w:firstLine="0"/>
              <w:jc w:val="center"/>
              <w:rPr>
                <w:rFonts w:ascii="Times New Roman" w:eastAsiaTheme="minorEastAsia" w:hAnsi="Times New Roman"/>
                <w:szCs w:val="21"/>
              </w:rPr>
            </w:pPr>
            <w:r w:rsidRPr="00D70300">
              <w:rPr>
                <w:rFonts w:ascii="Times New Roman" w:eastAsiaTheme="minorEastAsia" w:hAnsi="Times New Roman" w:hint="eastAsia"/>
                <w:szCs w:val="21"/>
              </w:rPr>
              <w:t>未</w:t>
            </w:r>
            <w:proofErr w:type="gramStart"/>
            <w:r w:rsidRPr="00D70300">
              <w:rPr>
                <w:rFonts w:ascii="Times New Roman" w:eastAsiaTheme="minorEastAsia" w:hAnsi="Times New Roman" w:hint="eastAsia"/>
                <w:szCs w:val="21"/>
              </w:rPr>
              <w:t>校正总熊</w:t>
            </w:r>
            <w:proofErr w:type="gramEnd"/>
            <w:r w:rsidRPr="00D70300">
              <w:rPr>
                <w:rFonts w:ascii="Times New Roman" w:eastAsiaTheme="minorEastAsia" w:hAnsi="Times New Roman" w:hint="eastAsia"/>
                <w:szCs w:val="21"/>
              </w:rPr>
              <w:t>去氧胆酸</w:t>
            </w: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7647.46</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7954.88</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96.13%</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88.01%~105.00%</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754"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112866.58</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106119.59</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106.35%</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102.11%~110.78%</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754" w:type="pct"/>
            <w:vMerge w:val="restart"/>
          </w:tcPr>
          <w:p w:rsidR="00EC24A3" w:rsidRPr="009958B1" w:rsidRDefault="00EC24A3" w:rsidP="00EC24A3">
            <w:pPr>
              <w:pStyle w:val="a8"/>
              <w:ind w:firstLineChars="0" w:firstLine="0"/>
              <w:jc w:val="center"/>
              <w:rPr>
                <w:rFonts w:ascii="Times New Roman" w:eastAsiaTheme="minorEastAsia" w:hAnsi="Times New Roman"/>
                <w:szCs w:val="21"/>
              </w:rPr>
            </w:pPr>
            <w:r w:rsidRPr="00D70300">
              <w:rPr>
                <w:rFonts w:ascii="Times New Roman" w:eastAsiaTheme="minorEastAsia" w:hAnsi="Times New Roman" w:hint="eastAsia"/>
                <w:szCs w:val="21"/>
              </w:rPr>
              <w:t>未校正游离熊去氧胆酸</w:t>
            </w: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proofErr w:type="spellStart"/>
            <w:r w:rsidRPr="009958B1">
              <w:rPr>
                <w:rFonts w:ascii="Times New Roman" w:eastAsiaTheme="minorEastAsia" w:hAnsi="Times New Roman"/>
                <w:sz w:val="21"/>
                <w:szCs w:val="21"/>
              </w:rPr>
              <w:t>C</w:t>
            </w:r>
            <w:r w:rsidRPr="009958B1">
              <w:rPr>
                <w:rFonts w:ascii="Times New Roman" w:eastAsiaTheme="minorEastAsia" w:hAnsi="Times New Roman"/>
                <w:sz w:val="21"/>
                <w:szCs w:val="21"/>
                <w:vertAlign w:val="subscript"/>
              </w:rPr>
              <w:t>max</w:t>
            </w:r>
            <w:proofErr w:type="spellEnd"/>
            <w:r w:rsidRPr="009958B1">
              <w:rPr>
                <w:rFonts w:ascii="Times New Roman" w:eastAsiaTheme="minorEastAsia" w:hAnsi="Times New Roman"/>
                <w:sz w:val="21"/>
                <w:szCs w:val="21"/>
              </w:rPr>
              <w:t>（</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5897.17</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6103.46</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96.62%</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87.33%~106.89%</w:t>
            </w:r>
          </w:p>
        </w:tc>
      </w:tr>
      <w:tr w:rsidR="00EC24A3" w:rsidRPr="009958B1" w:rsidTr="00EC24A3">
        <w:trPr>
          <w:trHeight w:val="20"/>
          <w:jc w:val="center"/>
        </w:trPr>
        <w:tc>
          <w:tcPr>
            <w:tcW w:w="477" w:type="pct"/>
            <w:vMerge/>
          </w:tcPr>
          <w:p w:rsidR="00EC24A3" w:rsidRPr="009958B1" w:rsidRDefault="00EC24A3" w:rsidP="00EC24A3">
            <w:pPr>
              <w:pStyle w:val="a8"/>
              <w:ind w:firstLineChars="0" w:firstLine="0"/>
              <w:jc w:val="center"/>
              <w:rPr>
                <w:rFonts w:ascii="Times New Roman" w:eastAsiaTheme="minorEastAsia" w:hAnsi="Times New Roman"/>
                <w:szCs w:val="21"/>
              </w:rPr>
            </w:pPr>
          </w:p>
        </w:tc>
        <w:tc>
          <w:tcPr>
            <w:tcW w:w="754" w:type="pct"/>
            <w:vMerge/>
          </w:tcPr>
          <w:p w:rsidR="00EC24A3" w:rsidRPr="00D70300" w:rsidRDefault="00EC24A3" w:rsidP="00EC24A3">
            <w:pPr>
              <w:pStyle w:val="a8"/>
              <w:ind w:firstLineChars="0" w:firstLine="0"/>
              <w:jc w:val="center"/>
              <w:rPr>
                <w:rFonts w:ascii="Times New Roman" w:eastAsiaTheme="minorEastAsia" w:hAnsi="Times New Roman"/>
                <w:szCs w:val="21"/>
              </w:rPr>
            </w:pPr>
          </w:p>
        </w:tc>
        <w:tc>
          <w:tcPr>
            <w:tcW w:w="1027" w:type="pct"/>
            <w:vAlign w:val="center"/>
          </w:tcPr>
          <w:p w:rsidR="00EC24A3" w:rsidRPr="009958B1" w:rsidRDefault="00EC24A3" w:rsidP="00EC24A3">
            <w:pPr>
              <w:pStyle w:val="a8"/>
              <w:ind w:firstLineChars="0" w:firstLine="0"/>
              <w:jc w:val="center"/>
              <w:rPr>
                <w:rFonts w:ascii="Times New Roman" w:eastAsiaTheme="minorEastAsia" w:hAnsi="Times New Roman"/>
                <w:sz w:val="21"/>
                <w:szCs w:val="21"/>
              </w:rPr>
            </w:pPr>
            <w:r w:rsidRPr="009958B1">
              <w:rPr>
                <w:rFonts w:ascii="Times New Roman" w:eastAsiaTheme="minorEastAsia" w:hAnsi="Times New Roman"/>
                <w:sz w:val="21"/>
                <w:szCs w:val="21"/>
              </w:rPr>
              <w:t>AUC</w:t>
            </w:r>
            <w:r w:rsidRPr="009958B1">
              <w:rPr>
                <w:rFonts w:ascii="Times New Roman" w:eastAsiaTheme="minorEastAsia" w:hAnsi="Times New Roman"/>
                <w:sz w:val="21"/>
                <w:szCs w:val="21"/>
                <w:vertAlign w:val="subscript"/>
              </w:rPr>
              <w:t>0-t</w:t>
            </w:r>
            <w:r w:rsidRPr="009958B1">
              <w:rPr>
                <w:rFonts w:ascii="Times New Roman" w:eastAsiaTheme="minorEastAsia" w:hAnsi="Times New Roman"/>
                <w:sz w:val="21"/>
                <w:szCs w:val="21"/>
              </w:rPr>
              <w:t>（</w:t>
            </w:r>
            <w:r w:rsidRPr="009958B1">
              <w:rPr>
                <w:rFonts w:ascii="Times New Roman" w:eastAsiaTheme="minorEastAsia" w:hAnsi="Times New Roman"/>
                <w:sz w:val="21"/>
                <w:szCs w:val="21"/>
              </w:rPr>
              <w:t>h*</w:t>
            </w:r>
            <w:r>
              <w:rPr>
                <w:rFonts w:ascii="Times New Roman" w:eastAsiaTheme="minorEastAsia" w:hAnsi="Times New Roman"/>
                <w:sz w:val="21"/>
                <w:szCs w:val="21"/>
              </w:rPr>
              <w:t>n</w:t>
            </w:r>
            <w:r w:rsidRPr="009958B1">
              <w:rPr>
                <w:rFonts w:ascii="Times New Roman" w:eastAsiaTheme="minorEastAsia" w:hAnsi="Times New Roman"/>
                <w:sz w:val="21"/>
                <w:szCs w:val="21"/>
              </w:rPr>
              <w:t>g/mL</w:t>
            </w:r>
            <w:r w:rsidRPr="009958B1">
              <w:rPr>
                <w:rFonts w:ascii="Times New Roman" w:eastAsiaTheme="minorEastAsia" w:hAnsi="Times New Roman"/>
                <w:sz w:val="21"/>
                <w:szCs w:val="21"/>
              </w:rPr>
              <w:t>）</w:t>
            </w:r>
          </w:p>
        </w:tc>
        <w:tc>
          <w:tcPr>
            <w:tcW w:w="622"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29349.70</w:t>
            </w:r>
          </w:p>
        </w:tc>
        <w:tc>
          <w:tcPr>
            <w:tcW w:w="548"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28551.58</w:t>
            </w:r>
          </w:p>
        </w:tc>
        <w:tc>
          <w:tcPr>
            <w:tcW w:w="616"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102.79%</w:t>
            </w:r>
          </w:p>
        </w:tc>
        <w:tc>
          <w:tcPr>
            <w:tcW w:w="957" w:type="pct"/>
            <w:tcBorders>
              <w:top w:val="single" w:sz="4" w:space="0" w:color="000000"/>
              <w:left w:val="single" w:sz="4" w:space="0" w:color="000000"/>
              <w:bottom w:val="single" w:sz="4" w:space="0" w:color="000000"/>
              <w:right w:val="single" w:sz="4" w:space="0" w:color="000000"/>
            </w:tcBorders>
            <w:vAlign w:val="center"/>
          </w:tcPr>
          <w:p w:rsidR="00EC24A3" w:rsidRDefault="00EC24A3" w:rsidP="00EC24A3">
            <w:pPr>
              <w:jc w:val="center"/>
              <w:rPr>
                <w:color w:val="000000"/>
                <w:sz w:val="21"/>
                <w:szCs w:val="21"/>
              </w:rPr>
            </w:pPr>
            <w:r>
              <w:rPr>
                <w:color w:val="000000"/>
                <w:sz w:val="21"/>
                <w:szCs w:val="21"/>
              </w:rPr>
              <w:t>98.05%~107.76%</w:t>
            </w:r>
          </w:p>
        </w:tc>
      </w:tr>
    </w:tbl>
    <w:p w:rsidR="00B11091" w:rsidRPr="00F7673C" w:rsidRDefault="00825632" w:rsidP="00C17F6D">
      <w:pPr>
        <w:spacing w:before="240" w:line="360" w:lineRule="auto"/>
        <w:rPr>
          <w:rFonts w:asciiTheme="minorEastAsia" w:hAnsiTheme="minorEastAsia"/>
          <w:b/>
          <w:sz w:val="28"/>
          <w:szCs w:val="24"/>
        </w:rPr>
      </w:pPr>
      <w:r w:rsidRPr="00F7673C">
        <w:rPr>
          <w:rFonts w:asciiTheme="minorEastAsia" w:hAnsiTheme="minorEastAsia" w:hint="eastAsia"/>
          <w:b/>
          <w:sz w:val="28"/>
          <w:szCs w:val="24"/>
        </w:rPr>
        <w:t>3.审评结论</w:t>
      </w:r>
    </w:p>
    <w:p w:rsidR="007A6237" w:rsidRPr="00D84DB5" w:rsidRDefault="00D64B0C" w:rsidP="00D84DB5">
      <w:pPr>
        <w:spacing w:line="360" w:lineRule="auto"/>
        <w:ind w:firstLineChars="196" w:firstLine="470"/>
        <w:rPr>
          <w:rFonts w:ascii="Times New Roman" w:hAnsi="Times New Roman" w:cs="Times New Roman"/>
          <w:sz w:val="24"/>
          <w:szCs w:val="24"/>
        </w:rPr>
      </w:pPr>
      <w:r>
        <w:rPr>
          <w:rFonts w:asciiTheme="minorEastAsia" w:hAnsiTheme="minorEastAsia" w:hint="eastAsia"/>
          <w:kern w:val="0"/>
          <w:sz w:val="24"/>
          <w:szCs w:val="24"/>
        </w:rPr>
        <w:t>建议</w:t>
      </w:r>
      <w:r w:rsidR="00EC24A3" w:rsidRPr="00EC24A3">
        <w:rPr>
          <w:rFonts w:ascii="Times New Roman" w:hAnsi="Times New Roman" w:cs="Times New Roman" w:hint="eastAsia"/>
          <w:sz w:val="24"/>
          <w:szCs w:val="24"/>
        </w:rPr>
        <w:t>武汉普元药业有限责任公司</w:t>
      </w:r>
      <w:r w:rsidR="009958B1" w:rsidRPr="009958B1">
        <w:rPr>
          <w:rFonts w:asciiTheme="minorEastAsia" w:hAnsiTheme="minorEastAsia" w:hint="eastAsia"/>
          <w:sz w:val="24"/>
          <w:szCs w:val="24"/>
        </w:rPr>
        <w:t>生产的</w:t>
      </w:r>
      <w:r w:rsidR="00D70300">
        <w:rPr>
          <w:rFonts w:asciiTheme="minorEastAsia" w:hAnsiTheme="minorEastAsia" w:hint="eastAsia"/>
          <w:sz w:val="24"/>
          <w:szCs w:val="24"/>
        </w:rPr>
        <w:t>熊去氧胆酸</w:t>
      </w:r>
      <w:r w:rsidR="00487E34" w:rsidRPr="00487E34">
        <w:rPr>
          <w:rFonts w:asciiTheme="minorEastAsia" w:hAnsiTheme="minorEastAsia" w:hint="eastAsia"/>
          <w:sz w:val="24"/>
          <w:szCs w:val="24"/>
        </w:rPr>
        <w:t>片</w:t>
      </w:r>
      <w:r w:rsidR="009958B1" w:rsidRPr="002A6857">
        <w:rPr>
          <w:rFonts w:ascii="Times New Roman" w:hAnsi="Times New Roman" w:cs="Times New Roman"/>
          <w:sz w:val="24"/>
          <w:szCs w:val="24"/>
        </w:rPr>
        <w:t>（</w:t>
      </w:r>
      <w:r w:rsidR="005B5CEE" w:rsidRPr="002A6857">
        <w:rPr>
          <w:rFonts w:ascii="Times New Roman" w:hAnsi="Times New Roman" w:cs="Times New Roman"/>
          <w:sz w:val="24"/>
          <w:szCs w:val="24"/>
        </w:rPr>
        <w:t>规格</w:t>
      </w:r>
      <w:r w:rsidR="005B5CEE">
        <w:rPr>
          <w:rFonts w:ascii="Times New Roman" w:hAnsi="Times New Roman" w:cs="Times New Roman" w:hint="eastAsia"/>
          <w:sz w:val="24"/>
          <w:szCs w:val="24"/>
        </w:rPr>
        <w:t>：</w:t>
      </w:r>
      <w:r w:rsidR="00D84DB5">
        <w:rPr>
          <w:rFonts w:ascii="Times New Roman" w:hAnsi="Times New Roman" w:cs="Times New Roman"/>
          <w:sz w:val="24"/>
          <w:szCs w:val="24"/>
        </w:rPr>
        <w:t>0.25</w:t>
      </w:r>
      <w:r w:rsidR="00643278">
        <w:rPr>
          <w:rFonts w:ascii="Times New Roman" w:hAnsi="Times New Roman" w:cs="Times New Roman"/>
          <w:sz w:val="24"/>
          <w:szCs w:val="24"/>
        </w:rPr>
        <w:t>g</w:t>
      </w:r>
      <w:r w:rsidR="009958B1" w:rsidRPr="002A6857">
        <w:rPr>
          <w:rFonts w:ascii="Times New Roman" w:hAnsi="Times New Roman" w:cs="Times New Roman"/>
          <w:sz w:val="24"/>
          <w:szCs w:val="24"/>
        </w:rPr>
        <w:t>）</w:t>
      </w:r>
      <w:r w:rsidR="00E02597" w:rsidRPr="002A6857">
        <w:rPr>
          <w:rFonts w:ascii="Times New Roman" w:hAnsi="Times New Roman" w:cs="Times New Roman"/>
          <w:sz w:val="24"/>
          <w:szCs w:val="24"/>
        </w:rPr>
        <w:t>通过</w:t>
      </w:r>
      <w:r w:rsidR="00825632" w:rsidRPr="002A6857">
        <w:rPr>
          <w:rFonts w:ascii="Times New Roman" w:hAnsi="Times New Roman" w:cs="Times New Roman"/>
          <w:sz w:val="24"/>
          <w:szCs w:val="24"/>
        </w:rPr>
        <w:t>仿制药质量与疗效一致性评价。</w:t>
      </w:r>
    </w:p>
    <w:sectPr w:rsidR="007A6237" w:rsidRPr="00D84DB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F06" w:rsidRDefault="00741F06" w:rsidP="00D45C81">
      <w:r>
        <w:separator/>
      </w:r>
    </w:p>
  </w:endnote>
  <w:endnote w:type="continuationSeparator" w:id="0">
    <w:p w:rsidR="00741F06" w:rsidRDefault="00741F06" w:rsidP="00D4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8A03A5"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200E47" w:rsidRPr="00200E47">
          <w:rPr>
            <w:rFonts w:ascii="仿宋_GB2312" w:eastAsia="仿宋_GB2312"/>
            <w:noProof/>
            <w:sz w:val="24"/>
            <w:szCs w:val="24"/>
            <w:lang w:val="zh-CN"/>
          </w:rPr>
          <w:t>2</w:t>
        </w:r>
        <w:r w:rsidRPr="008A03A5">
          <w:rPr>
            <w:rFonts w:ascii="仿宋_GB2312" w:eastAsia="仿宋_GB2312" w:hint="eastAsia"/>
            <w:sz w:val="24"/>
            <w:szCs w:val="24"/>
          </w:rPr>
          <w:fldChar w:fldCharType="end"/>
        </w:r>
        <w:r w:rsidR="003078F4">
          <w:rPr>
            <w:rFonts w:ascii="仿宋_GB2312" w:eastAsia="仿宋_GB2312" w:hint="eastAsia"/>
            <w:sz w:val="24"/>
            <w:szCs w:val="24"/>
          </w:rPr>
          <w:t>/</w:t>
        </w:r>
        <w:r w:rsidR="003078F4">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F06" w:rsidRDefault="00741F06" w:rsidP="00D45C81">
      <w:r>
        <w:separator/>
      </w:r>
    </w:p>
  </w:footnote>
  <w:footnote w:type="continuationSeparator" w:id="0">
    <w:p w:rsidR="00741F06" w:rsidRDefault="00741F06" w:rsidP="00D45C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9"/>
    <w:rsid w:val="00002870"/>
    <w:rsid w:val="00002F84"/>
    <w:rsid w:val="00017BF7"/>
    <w:rsid w:val="00021EB0"/>
    <w:rsid w:val="000237DE"/>
    <w:rsid w:val="000259AC"/>
    <w:rsid w:val="00025D61"/>
    <w:rsid w:val="00052A6C"/>
    <w:rsid w:val="000535CA"/>
    <w:rsid w:val="000566B2"/>
    <w:rsid w:val="00066740"/>
    <w:rsid w:val="000676B7"/>
    <w:rsid w:val="00072C7F"/>
    <w:rsid w:val="000826CB"/>
    <w:rsid w:val="00086BAF"/>
    <w:rsid w:val="00087468"/>
    <w:rsid w:val="00093E39"/>
    <w:rsid w:val="000A6D15"/>
    <w:rsid w:val="000B7EF9"/>
    <w:rsid w:val="000C2394"/>
    <w:rsid w:val="000C2492"/>
    <w:rsid w:val="000C344B"/>
    <w:rsid w:val="000C3AEA"/>
    <w:rsid w:val="000D1A23"/>
    <w:rsid w:val="000D2E0E"/>
    <w:rsid w:val="000E184C"/>
    <w:rsid w:val="000E4063"/>
    <w:rsid w:val="000F7095"/>
    <w:rsid w:val="00100620"/>
    <w:rsid w:val="001116EF"/>
    <w:rsid w:val="001136E7"/>
    <w:rsid w:val="00117F5E"/>
    <w:rsid w:val="00130DB7"/>
    <w:rsid w:val="00142C4E"/>
    <w:rsid w:val="001460F9"/>
    <w:rsid w:val="0015186D"/>
    <w:rsid w:val="001530C6"/>
    <w:rsid w:val="00162F3F"/>
    <w:rsid w:val="001634D2"/>
    <w:rsid w:val="00183B78"/>
    <w:rsid w:val="00187CB5"/>
    <w:rsid w:val="00190E5A"/>
    <w:rsid w:val="00197E58"/>
    <w:rsid w:val="001A4598"/>
    <w:rsid w:val="001C57D6"/>
    <w:rsid w:val="001D05F1"/>
    <w:rsid w:val="001D1DDC"/>
    <w:rsid w:val="001D2CBD"/>
    <w:rsid w:val="001D5BC6"/>
    <w:rsid w:val="001E008E"/>
    <w:rsid w:val="001E719A"/>
    <w:rsid w:val="001E7990"/>
    <w:rsid w:val="001F54E5"/>
    <w:rsid w:val="001F62CC"/>
    <w:rsid w:val="00200E47"/>
    <w:rsid w:val="0020195D"/>
    <w:rsid w:val="00202A84"/>
    <w:rsid w:val="00214CE2"/>
    <w:rsid w:val="00215067"/>
    <w:rsid w:val="00221A03"/>
    <w:rsid w:val="00222443"/>
    <w:rsid w:val="0022280B"/>
    <w:rsid w:val="00231BB4"/>
    <w:rsid w:val="00232061"/>
    <w:rsid w:val="00234073"/>
    <w:rsid w:val="002358FD"/>
    <w:rsid w:val="00243206"/>
    <w:rsid w:val="00256223"/>
    <w:rsid w:val="0026766F"/>
    <w:rsid w:val="002742D8"/>
    <w:rsid w:val="00274F34"/>
    <w:rsid w:val="00276AE6"/>
    <w:rsid w:val="00282794"/>
    <w:rsid w:val="00282F97"/>
    <w:rsid w:val="002866BA"/>
    <w:rsid w:val="0028674E"/>
    <w:rsid w:val="0028772F"/>
    <w:rsid w:val="0029571E"/>
    <w:rsid w:val="002A142C"/>
    <w:rsid w:val="002A3555"/>
    <w:rsid w:val="002A4B55"/>
    <w:rsid w:val="002A54FC"/>
    <w:rsid w:val="002A6857"/>
    <w:rsid w:val="002A6A46"/>
    <w:rsid w:val="002A7C8D"/>
    <w:rsid w:val="002B76F3"/>
    <w:rsid w:val="002C10A0"/>
    <w:rsid w:val="002C4E1D"/>
    <w:rsid w:val="002C7C9E"/>
    <w:rsid w:val="002C7DCE"/>
    <w:rsid w:val="002D3190"/>
    <w:rsid w:val="002D5C31"/>
    <w:rsid w:val="002E170E"/>
    <w:rsid w:val="002E3285"/>
    <w:rsid w:val="002E58BD"/>
    <w:rsid w:val="002E76F9"/>
    <w:rsid w:val="002F76B2"/>
    <w:rsid w:val="003078F4"/>
    <w:rsid w:val="0031295C"/>
    <w:rsid w:val="00312AC0"/>
    <w:rsid w:val="003141C7"/>
    <w:rsid w:val="00324E69"/>
    <w:rsid w:val="0033165A"/>
    <w:rsid w:val="00333212"/>
    <w:rsid w:val="00337717"/>
    <w:rsid w:val="00337F3C"/>
    <w:rsid w:val="00343F28"/>
    <w:rsid w:val="00351BBF"/>
    <w:rsid w:val="00356BE1"/>
    <w:rsid w:val="003616A1"/>
    <w:rsid w:val="0036347C"/>
    <w:rsid w:val="00364E30"/>
    <w:rsid w:val="00365344"/>
    <w:rsid w:val="00367F9C"/>
    <w:rsid w:val="00380285"/>
    <w:rsid w:val="00381D44"/>
    <w:rsid w:val="003821D6"/>
    <w:rsid w:val="00384A53"/>
    <w:rsid w:val="00384C40"/>
    <w:rsid w:val="003953CF"/>
    <w:rsid w:val="003A1966"/>
    <w:rsid w:val="003A66B6"/>
    <w:rsid w:val="003A711C"/>
    <w:rsid w:val="003B2084"/>
    <w:rsid w:val="003B2C7E"/>
    <w:rsid w:val="003D46C2"/>
    <w:rsid w:val="003E47D9"/>
    <w:rsid w:val="003E72BA"/>
    <w:rsid w:val="003E77E7"/>
    <w:rsid w:val="00416EE0"/>
    <w:rsid w:val="00424C9A"/>
    <w:rsid w:val="0042648F"/>
    <w:rsid w:val="0043106E"/>
    <w:rsid w:val="0043216B"/>
    <w:rsid w:val="00443575"/>
    <w:rsid w:val="00453A35"/>
    <w:rsid w:val="00460523"/>
    <w:rsid w:val="00475093"/>
    <w:rsid w:val="00476B6B"/>
    <w:rsid w:val="00480D74"/>
    <w:rsid w:val="00481516"/>
    <w:rsid w:val="00487E34"/>
    <w:rsid w:val="00492BFB"/>
    <w:rsid w:val="00493494"/>
    <w:rsid w:val="0049494C"/>
    <w:rsid w:val="00496BC5"/>
    <w:rsid w:val="004979B8"/>
    <w:rsid w:val="00497FD8"/>
    <w:rsid w:val="004A15E9"/>
    <w:rsid w:val="004A553E"/>
    <w:rsid w:val="004B20FE"/>
    <w:rsid w:val="004B45F8"/>
    <w:rsid w:val="004C3223"/>
    <w:rsid w:val="004E58B6"/>
    <w:rsid w:val="00504C26"/>
    <w:rsid w:val="00505583"/>
    <w:rsid w:val="00511384"/>
    <w:rsid w:val="0051200F"/>
    <w:rsid w:val="0051544E"/>
    <w:rsid w:val="00535775"/>
    <w:rsid w:val="0055190A"/>
    <w:rsid w:val="005623CE"/>
    <w:rsid w:val="00571A98"/>
    <w:rsid w:val="005817DD"/>
    <w:rsid w:val="00587924"/>
    <w:rsid w:val="0059389B"/>
    <w:rsid w:val="005957C6"/>
    <w:rsid w:val="005A0E2D"/>
    <w:rsid w:val="005A247A"/>
    <w:rsid w:val="005A61A7"/>
    <w:rsid w:val="005A67A6"/>
    <w:rsid w:val="005A6C5E"/>
    <w:rsid w:val="005B09CE"/>
    <w:rsid w:val="005B2C18"/>
    <w:rsid w:val="005B3BFC"/>
    <w:rsid w:val="005B5CEE"/>
    <w:rsid w:val="005B5D57"/>
    <w:rsid w:val="005B7837"/>
    <w:rsid w:val="005C1830"/>
    <w:rsid w:val="005C2796"/>
    <w:rsid w:val="005C2D7D"/>
    <w:rsid w:val="005C5391"/>
    <w:rsid w:val="005D09BF"/>
    <w:rsid w:val="005D2DA8"/>
    <w:rsid w:val="005D604A"/>
    <w:rsid w:val="005E38D7"/>
    <w:rsid w:val="005E5A0C"/>
    <w:rsid w:val="005F5D90"/>
    <w:rsid w:val="006043A3"/>
    <w:rsid w:val="00611D81"/>
    <w:rsid w:val="006152B4"/>
    <w:rsid w:val="00620FA9"/>
    <w:rsid w:val="00630BDF"/>
    <w:rsid w:val="00631599"/>
    <w:rsid w:val="006324B0"/>
    <w:rsid w:val="00633483"/>
    <w:rsid w:val="00635EF5"/>
    <w:rsid w:val="00640162"/>
    <w:rsid w:val="006416F1"/>
    <w:rsid w:val="00641826"/>
    <w:rsid w:val="00643278"/>
    <w:rsid w:val="00646205"/>
    <w:rsid w:val="006528FA"/>
    <w:rsid w:val="00656A9D"/>
    <w:rsid w:val="0066279A"/>
    <w:rsid w:val="00664246"/>
    <w:rsid w:val="006769F0"/>
    <w:rsid w:val="00677F45"/>
    <w:rsid w:val="0068793C"/>
    <w:rsid w:val="00691B18"/>
    <w:rsid w:val="00694C8B"/>
    <w:rsid w:val="006A32BF"/>
    <w:rsid w:val="006A330D"/>
    <w:rsid w:val="006A786B"/>
    <w:rsid w:val="006B371B"/>
    <w:rsid w:val="006B58EF"/>
    <w:rsid w:val="006C0229"/>
    <w:rsid w:val="006C1D14"/>
    <w:rsid w:val="006C1E1C"/>
    <w:rsid w:val="006C24EC"/>
    <w:rsid w:val="006D4791"/>
    <w:rsid w:val="006E1058"/>
    <w:rsid w:val="006E260C"/>
    <w:rsid w:val="006E547E"/>
    <w:rsid w:val="006E7106"/>
    <w:rsid w:val="006F6829"/>
    <w:rsid w:val="00706C2F"/>
    <w:rsid w:val="00707231"/>
    <w:rsid w:val="00707F2C"/>
    <w:rsid w:val="00711544"/>
    <w:rsid w:val="00733437"/>
    <w:rsid w:val="00736B7C"/>
    <w:rsid w:val="00741412"/>
    <w:rsid w:val="00741F06"/>
    <w:rsid w:val="00746218"/>
    <w:rsid w:val="0074751F"/>
    <w:rsid w:val="00750142"/>
    <w:rsid w:val="007520E3"/>
    <w:rsid w:val="007556E3"/>
    <w:rsid w:val="0075584F"/>
    <w:rsid w:val="0076083E"/>
    <w:rsid w:val="00761987"/>
    <w:rsid w:val="007700B2"/>
    <w:rsid w:val="007718A8"/>
    <w:rsid w:val="00783C92"/>
    <w:rsid w:val="00786029"/>
    <w:rsid w:val="00786A8F"/>
    <w:rsid w:val="00787879"/>
    <w:rsid w:val="007954BB"/>
    <w:rsid w:val="007A6237"/>
    <w:rsid w:val="007B2AF2"/>
    <w:rsid w:val="007B37A6"/>
    <w:rsid w:val="007C3047"/>
    <w:rsid w:val="007F1374"/>
    <w:rsid w:val="007F5C9E"/>
    <w:rsid w:val="00801539"/>
    <w:rsid w:val="00802FDB"/>
    <w:rsid w:val="00804CD1"/>
    <w:rsid w:val="00806A5C"/>
    <w:rsid w:val="008134A0"/>
    <w:rsid w:val="008142C5"/>
    <w:rsid w:val="00816614"/>
    <w:rsid w:val="00824937"/>
    <w:rsid w:val="00825632"/>
    <w:rsid w:val="00827FCE"/>
    <w:rsid w:val="0084142D"/>
    <w:rsid w:val="00842337"/>
    <w:rsid w:val="008427DA"/>
    <w:rsid w:val="0084290B"/>
    <w:rsid w:val="00843BC9"/>
    <w:rsid w:val="008455EF"/>
    <w:rsid w:val="008477A0"/>
    <w:rsid w:val="00850422"/>
    <w:rsid w:val="00851731"/>
    <w:rsid w:val="0086110C"/>
    <w:rsid w:val="008615B7"/>
    <w:rsid w:val="008653AF"/>
    <w:rsid w:val="00867250"/>
    <w:rsid w:val="008849C4"/>
    <w:rsid w:val="00884BBB"/>
    <w:rsid w:val="0088568F"/>
    <w:rsid w:val="00890A9A"/>
    <w:rsid w:val="008913ED"/>
    <w:rsid w:val="00894357"/>
    <w:rsid w:val="00897CDF"/>
    <w:rsid w:val="008A03A5"/>
    <w:rsid w:val="008A630E"/>
    <w:rsid w:val="008A7BEF"/>
    <w:rsid w:val="008B2127"/>
    <w:rsid w:val="008B2B17"/>
    <w:rsid w:val="008B2CC4"/>
    <w:rsid w:val="008B43E8"/>
    <w:rsid w:val="008B4E7F"/>
    <w:rsid w:val="008C78F7"/>
    <w:rsid w:val="008D3AC6"/>
    <w:rsid w:val="008D4699"/>
    <w:rsid w:val="008D502C"/>
    <w:rsid w:val="008D5FC7"/>
    <w:rsid w:val="008D618E"/>
    <w:rsid w:val="008D7AAC"/>
    <w:rsid w:val="008E0280"/>
    <w:rsid w:val="008E7993"/>
    <w:rsid w:val="009035F8"/>
    <w:rsid w:val="00923948"/>
    <w:rsid w:val="009462EB"/>
    <w:rsid w:val="00946501"/>
    <w:rsid w:val="00950AEC"/>
    <w:rsid w:val="0096225A"/>
    <w:rsid w:val="009658F6"/>
    <w:rsid w:val="00967516"/>
    <w:rsid w:val="00970EC0"/>
    <w:rsid w:val="009710C3"/>
    <w:rsid w:val="00971B50"/>
    <w:rsid w:val="00974068"/>
    <w:rsid w:val="00984A53"/>
    <w:rsid w:val="00986095"/>
    <w:rsid w:val="009868E6"/>
    <w:rsid w:val="00986CFB"/>
    <w:rsid w:val="0098759A"/>
    <w:rsid w:val="00992CD5"/>
    <w:rsid w:val="00993C21"/>
    <w:rsid w:val="009958B1"/>
    <w:rsid w:val="00995B8A"/>
    <w:rsid w:val="00996607"/>
    <w:rsid w:val="009971AA"/>
    <w:rsid w:val="009A169D"/>
    <w:rsid w:val="009B7006"/>
    <w:rsid w:val="009C35A7"/>
    <w:rsid w:val="009C374E"/>
    <w:rsid w:val="009C4EF5"/>
    <w:rsid w:val="009C5856"/>
    <w:rsid w:val="009C691C"/>
    <w:rsid w:val="009C6D66"/>
    <w:rsid w:val="009C72B7"/>
    <w:rsid w:val="009D09E0"/>
    <w:rsid w:val="009D20A8"/>
    <w:rsid w:val="009E1794"/>
    <w:rsid w:val="009E2BA3"/>
    <w:rsid w:val="009E633F"/>
    <w:rsid w:val="009F0A4C"/>
    <w:rsid w:val="009F4A68"/>
    <w:rsid w:val="009F5040"/>
    <w:rsid w:val="009F5E83"/>
    <w:rsid w:val="00A11C58"/>
    <w:rsid w:val="00A137AC"/>
    <w:rsid w:val="00A146F1"/>
    <w:rsid w:val="00A1634C"/>
    <w:rsid w:val="00A165D6"/>
    <w:rsid w:val="00A22516"/>
    <w:rsid w:val="00A31359"/>
    <w:rsid w:val="00A4245B"/>
    <w:rsid w:val="00A47E44"/>
    <w:rsid w:val="00A50194"/>
    <w:rsid w:val="00A72AA1"/>
    <w:rsid w:val="00A84C25"/>
    <w:rsid w:val="00AA1805"/>
    <w:rsid w:val="00AC2396"/>
    <w:rsid w:val="00AC3DC3"/>
    <w:rsid w:val="00AD0C84"/>
    <w:rsid w:val="00AD78A1"/>
    <w:rsid w:val="00AE37F1"/>
    <w:rsid w:val="00AE7F8C"/>
    <w:rsid w:val="00B0029D"/>
    <w:rsid w:val="00B004D9"/>
    <w:rsid w:val="00B009AF"/>
    <w:rsid w:val="00B01FE6"/>
    <w:rsid w:val="00B04444"/>
    <w:rsid w:val="00B04A0B"/>
    <w:rsid w:val="00B11091"/>
    <w:rsid w:val="00B11C80"/>
    <w:rsid w:val="00B130AB"/>
    <w:rsid w:val="00B17358"/>
    <w:rsid w:val="00B21563"/>
    <w:rsid w:val="00B2354A"/>
    <w:rsid w:val="00B242FD"/>
    <w:rsid w:val="00B32CDA"/>
    <w:rsid w:val="00B368DA"/>
    <w:rsid w:val="00B425B5"/>
    <w:rsid w:val="00B44C20"/>
    <w:rsid w:val="00B47F92"/>
    <w:rsid w:val="00B50ED6"/>
    <w:rsid w:val="00B51521"/>
    <w:rsid w:val="00B55145"/>
    <w:rsid w:val="00B70365"/>
    <w:rsid w:val="00B720E1"/>
    <w:rsid w:val="00B827EF"/>
    <w:rsid w:val="00B87F5F"/>
    <w:rsid w:val="00B95238"/>
    <w:rsid w:val="00B9745A"/>
    <w:rsid w:val="00B97A48"/>
    <w:rsid w:val="00BA2779"/>
    <w:rsid w:val="00BA3173"/>
    <w:rsid w:val="00BA635F"/>
    <w:rsid w:val="00BB1DE6"/>
    <w:rsid w:val="00BB31AF"/>
    <w:rsid w:val="00BB3ADD"/>
    <w:rsid w:val="00BB5C6A"/>
    <w:rsid w:val="00BC3762"/>
    <w:rsid w:val="00BC5330"/>
    <w:rsid w:val="00BC7BD4"/>
    <w:rsid w:val="00BD427C"/>
    <w:rsid w:val="00BE3AC4"/>
    <w:rsid w:val="00BE5DF8"/>
    <w:rsid w:val="00BF342E"/>
    <w:rsid w:val="00BF5E74"/>
    <w:rsid w:val="00C05307"/>
    <w:rsid w:val="00C055B6"/>
    <w:rsid w:val="00C117D9"/>
    <w:rsid w:val="00C11E3B"/>
    <w:rsid w:val="00C16011"/>
    <w:rsid w:val="00C17F6D"/>
    <w:rsid w:val="00C213F2"/>
    <w:rsid w:val="00C23305"/>
    <w:rsid w:val="00C236B5"/>
    <w:rsid w:val="00C271A4"/>
    <w:rsid w:val="00C35E0B"/>
    <w:rsid w:val="00C441BF"/>
    <w:rsid w:val="00C47DB4"/>
    <w:rsid w:val="00C47F3A"/>
    <w:rsid w:val="00C526F3"/>
    <w:rsid w:val="00C55022"/>
    <w:rsid w:val="00C55B3E"/>
    <w:rsid w:val="00C565E9"/>
    <w:rsid w:val="00C57806"/>
    <w:rsid w:val="00C60AAA"/>
    <w:rsid w:val="00C62784"/>
    <w:rsid w:val="00C6439E"/>
    <w:rsid w:val="00C81A6F"/>
    <w:rsid w:val="00C838EC"/>
    <w:rsid w:val="00C83ED0"/>
    <w:rsid w:val="00C85150"/>
    <w:rsid w:val="00C87A2B"/>
    <w:rsid w:val="00C90EB6"/>
    <w:rsid w:val="00C930F6"/>
    <w:rsid w:val="00C943C0"/>
    <w:rsid w:val="00C97FDB"/>
    <w:rsid w:val="00CA0424"/>
    <w:rsid w:val="00CA1A0D"/>
    <w:rsid w:val="00CB375C"/>
    <w:rsid w:val="00CC4B00"/>
    <w:rsid w:val="00CC624E"/>
    <w:rsid w:val="00CD2F81"/>
    <w:rsid w:val="00CE485B"/>
    <w:rsid w:val="00CE5A73"/>
    <w:rsid w:val="00CF0CD8"/>
    <w:rsid w:val="00CF3ECA"/>
    <w:rsid w:val="00CF4522"/>
    <w:rsid w:val="00D00846"/>
    <w:rsid w:val="00D065EA"/>
    <w:rsid w:val="00D1109D"/>
    <w:rsid w:val="00D11B8C"/>
    <w:rsid w:val="00D16E24"/>
    <w:rsid w:val="00D245BD"/>
    <w:rsid w:val="00D30BE9"/>
    <w:rsid w:val="00D35AE6"/>
    <w:rsid w:val="00D41AE6"/>
    <w:rsid w:val="00D41FDC"/>
    <w:rsid w:val="00D45C81"/>
    <w:rsid w:val="00D50865"/>
    <w:rsid w:val="00D518BF"/>
    <w:rsid w:val="00D563A7"/>
    <w:rsid w:val="00D57499"/>
    <w:rsid w:val="00D57575"/>
    <w:rsid w:val="00D57DBE"/>
    <w:rsid w:val="00D57F62"/>
    <w:rsid w:val="00D6498F"/>
    <w:rsid w:val="00D64B0C"/>
    <w:rsid w:val="00D65897"/>
    <w:rsid w:val="00D66A0F"/>
    <w:rsid w:val="00D70300"/>
    <w:rsid w:val="00D706E0"/>
    <w:rsid w:val="00D727CE"/>
    <w:rsid w:val="00D76D3E"/>
    <w:rsid w:val="00D840A4"/>
    <w:rsid w:val="00D849FF"/>
    <w:rsid w:val="00D84DB5"/>
    <w:rsid w:val="00D85D4F"/>
    <w:rsid w:val="00D91CF3"/>
    <w:rsid w:val="00D95BE8"/>
    <w:rsid w:val="00DA3EBA"/>
    <w:rsid w:val="00DA4F74"/>
    <w:rsid w:val="00DA7E99"/>
    <w:rsid w:val="00DC07E0"/>
    <w:rsid w:val="00DC4241"/>
    <w:rsid w:val="00DC5B9E"/>
    <w:rsid w:val="00DC7162"/>
    <w:rsid w:val="00DD670E"/>
    <w:rsid w:val="00DE04ED"/>
    <w:rsid w:val="00DE5E8F"/>
    <w:rsid w:val="00DE78E4"/>
    <w:rsid w:val="00DF145D"/>
    <w:rsid w:val="00DF2115"/>
    <w:rsid w:val="00DF33D7"/>
    <w:rsid w:val="00DF77FE"/>
    <w:rsid w:val="00E02597"/>
    <w:rsid w:val="00E02AEF"/>
    <w:rsid w:val="00E03635"/>
    <w:rsid w:val="00E0696D"/>
    <w:rsid w:val="00E07989"/>
    <w:rsid w:val="00E130DE"/>
    <w:rsid w:val="00E2045F"/>
    <w:rsid w:val="00E220DB"/>
    <w:rsid w:val="00E26D2F"/>
    <w:rsid w:val="00E314F8"/>
    <w:rsid w:val="00E31889"/>
    <w:rsid w:val="00E52524"/>
    <w:rsid w:val="00E54383"/>
    <w:rsid w:val="00E56AFD"/>
    <w:rsid w:val="00E6285C"/>
    <w:rsid w:val="00E708E2"/>
    <w:rsid w:val="00E766C1"/>
    <w:rsid w:val="00E77E85"/>
    <w:rsid w:val="00E803A2"/>
    <w:rsid w:val="00E8157E"/>
    <w:rsid w:val="00E92A88"/>
    <w:rsid w:val="00EA6E3B"/>
    <w:rsid w:val="00EA7245"/>
    <w:rsid w:val="00EB2F59"/>
    <w:rsid w:val="00EB5F40"/>
    <w:rsid w:val="00EB6045"/>
    <w:rsid w:val="00EC22DA"/>
    <w:rsid w:val="00EC24A3"/>
    <w:rsid w:val="00EC7247"/>
    <w:rsid w:val="00ED046D"/>
    <w:rsid w:val="00ED06F5"/>
    <w:rsid w:val="00ED284F"/>
    <w:rsid w:val="00ED30A6"/>
    <w:rsid w:val="00ED6DA5"/>
    <w:rsid w:val="00ED71F2"/>
    <w:rsid w:val="00EE0A95"/>
    <w:rsid w:val="00EF027E"/>
    <w:rsid w:val="00EF34B2"/>
    <w:rsid w:val="00EF7CD9"/>
    <w:rsid w:val="00F03C0E"/>
    <w:rsid w:val="00F06C45"/>
    <w:rsid w:val="00F24846"/>
    <w:rsid w:val="00F2684C"/>
    <w:rsid w:val="00F32D89"/>
    <w:rsid w:val="00F33214"/>
    <w:rsid w:val="00F3597E"/>
    <w:rsid w:val="00F36267"/>
    <w:rsid w:val="00F47E6A"/>
    <w:rsid w:val="00F5067A"/>
    <w:rsid w:val="00F544B9"/>
    <w:rsid w:val="00F54CBA"/>
    <w:rsid w:val="00F55E5F"/>
    <w:rsid w:val="00F560D0"/>
    <w:rsid w:val="00F56AB8"/>
    <w:rsid w:val="00F61E8D"/>
    <w:rsid w:val="00F644C5"/>
    <w:rsid w:val="00F64513"/>
    <w:rsid w:val="00F74A73"/>
    <w:rsid w:val="00F760A3"/>
    <w:rsid w:val="00F7610D"/>
    <w:rsid w:val="00F7673C"/>
    <w:rsid w:val="00F81D03"/>
    <w:rsid w:val="00F8639F"/>
    <w:rsid w:val="00F903E3"/>
    <w:rsid w:val="00F90C12"/>
    <w:rsid w:val="00F9213A"/>
    <w:rsid w:val="00F97BE0"/>
    <w:rsid w:val="00FA11AC"/>
    <w:rsid w:val="00FA13CF"/>
    <w:rsid w:val="00FA1740"/>
    <w:rsid w:val="00FA56A3"/>
    <w:rsid w:val="00FC3226"/>
    <w:rsid w:val="00FC6587"/>
    <w:rsid w:val="00FD139A"/>
    <w:rsid w:val="00FD4E5C"/>
    <w:rsid w:val="00FD7CFC"/>
    <w:rsid w:val="00FF2C9C"/>
    <w:rsid w:val="00FF3487"/>
    <w:rsid w:val="00FF6F5E"/>
    <w:rsid w:val="00FF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7BD64A-13A2-4A00-B7C3-B4B53AD7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C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C81"/>
    <w:rPr>
      <w:sz w:val="18"/>
      <w:szCs w:val="18"/>
    </w:rPr>
  </w:style>
  <w:style w:type="paragraph" w:styleId="a5">
    <w:name w:val="footer"/>
    <w:basedOn w:val="a"/>
    <w:link w:val="a6"/>
    <w:uiPriority w:val="99"/>
    <w:unhideWhenUsed/>
    <w:rsid w:val="00D45C81"/>
    <w:pPr>
      <w:tabs>
        <w:tab w:val="center" w:pos="4153"/>
        <w:tab w:val="right" w:pos="8306"/>
      </w:tabs>
      <w:snapToGrid w:val="0"/>
      <w:jc w:val="left"/>
    </w:pPr>
    <w:rPr>
      <w:sz w:val="18"/>
      <w:szCs w:val="18"/>
    </w:rPr>
  </w:style>
  <w:style w:type="character" w:customStyle="1" w:styleId="a6">
    <w:name w:val="页脚 字符"/>
    <w:basedOn w:val="a0"/>
    <w:link w:val="a5"/>
    <w:uiPriority w:val="99"/>
    <w:rsid w:val="00D45C81"/>
    <w:rPr>
      <w:sz w:val="18"/>
      <w:szCs w:val="18"/>
    </w:rPr>
  </w:style>
  <w:style w:type="table" w:styleId="a7">
    <w:name w:val="Table Grid"/>
    <w:basedOn w:val="a1"/>
    <w:uiPriority w:val="59"/>
    <w:qFormat/>
    <w:rsid w:val="00B110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11091"/>
    <w:pPr>
      <w:ind w:firstLineChars="200" w:firstLine="420"/>
    </w:pPr>
    <w:rPr>
      <w:rFonts w:ascii="Calibri" w:eastAsia="宋体" w:hAnsi="Calibri" w:cs="Times New Roman"/>
    </w:rPr>
  </w:style>
  <w:style w:type="character" w:styleId="a9">
    <w:name w:val="annotation reference"/>
    <w:basedOn w:val="a0"/>
    <w:uiPriority w:val="99"/>
    <w:semiHidden/>
    <w:unhideWhenUsed/>
    <w:rsid w:val="00B11091"/>
    <w:rPr>
      <w:sz w:val="21"/>
      <w:szCs w:val="21"/>
    </w:rPr>
  </w:style>
  <w:style w:type="paragraph" w:styleId="aa">
    <w:name w:val="annotation text"/>
    <w:basedOn w:val="a"/>
    <w:link w:val="ab"/>
    <w:uiPriority w:val="99"/>
    <w:semiHidden/>
    <w:unhideWhenUsed/>
    <w:rsid w:val="00B11091"/>
    <w:pPr>
      <w:widowControl/>
      <w:spacing w:line="360" w:lineRule="auto"/>
      <w:jc w:val="left"/>
    </w:pPr>
    <w:rPr>
      <w:rFonts w:ascii="Calibri" w:eastAsia="宋体" w:hAnsi="Calibri" w:cs="Times New Roman"/>
      <w:bCs/>
      <w:kern w:val="0"/>
      <w:sz w:val="24"/>
    </w:rPr>
  </w:style>
  <w:style w:type="character" w:customStyle="1" w:styleId="ab">
    <w:name w:val="批注文字 字符"/>
    <w:basedOn w:val="a0"/>
    <w:link w:val="aa"/>
    <w:uiPriority w:val="99"/>
    <w:semiHidden/>
    <w:rsid w:val="00B11091"/>
    <w:rPr>
      <w:rFonts w:ascii="Calibri" w:eastAsia="宋体" w:hAnsi="Calibri" w:cs="Times New Roman"/>
      <w:bCs/>
      <w:kern w:val="0"/>
      <w:sz w:val="24"/>
    </w:rPr>
  </w:style>
  <w:style w:type="paragraph" w:styleId="ac">
    <w:name w:val="Balloon Text"/>
    <w:basedOn w:val="a"/>
    <w:link w:val="ad"/>
    <w:uiPriority w:val="99"/>
    <w:semiHidden/>
    <w:unhideWhenUsed/>
    <w:rsid w:val="00B11091"/>
    <w:rPr>
      <w:sz w:val="18"/>
      <w:szCs w:val="18"/>
    </w:rPr>
  </w:style>
  <w:style w:type="character" w:customStyle="1" w:styleId="ad">
    <w:name w:val="批注框文本 字符"/>
    <w:basedOn w:val="a0"/>
    <w:link w:val="ac"/>
    <w:uiPriority w:val="99"/>
    <w:semiHidden/>
    <w:rsid w:val="00B110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014AA-47EF-49EC-A85E-47CEAD20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韩鸿璨</dc:creator>
  <cp:lastModifiedBy>刘力力</cp:lastModifiedBy>
  <cp:revision>9</cp:revision>
  <dcterms:created xsi:type="dcterms:W3CDTF">2022-04-10T06:08:00Z</dcterms:created>
  <dcterms:modified xsi:type="dcterms:W3CDTF">2022-04-10T06:47:00Z</dcterms:modified>
</cp:coreProperties>
</file>