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AD19C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AD19C1">
              <w:rPr>
                <w:rFonts w:asciiTheme="minorEastAsia" w:hAnsiTheme="minorEastAsia" w:hint="eastAsia"/>
                <w:sz w:val="24"/>
                <w:szCs w:val="24"/>
              </w:rPr>
              <w:t>盐酸地尔硫卓片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AD19C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D19C1">
              <w:rPr>
                <w:rFonts w:ascii="Times New Roman" w:hAnsi="Times New Roman" w:cs="Times New Roman"/>
                <w:sz w:val="24"/>
                <w:szCs w:val="24"/>
              </w:rPr>
              <w:t>Diltiazem Hydrochloride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AD19C1" w:rsidRPr="00AD19C1">
              <w:rPr>
                <w:rFonts w:ascii="Times New Roman" w:hAnsi="Times New Roman" w:cs="Times New Roman"/>
                <w:sz w:val="24"/>
                <w:szCs w:val="24"/>
              </w:rPr>
              <w:t>30mg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AD19C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D19C1">
              <w:rPr>
                <w:rFonts w:ascii="Times New Roman" w:hAnsi="Times New Roman" w:cs="Times New Roman" w:hint="eastAsia"/>
                <w:sz w:val="24"/>
                <w:szCs w:val="24"/>
              </w:rPr>
              <w:t>上海信谊万象药业股份有限公司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AD19C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AD19C1">
              <w:rPr>
                <w:rFonts w:ascii="Times New Roman" w:hAnsi="Times New Roman" w:cs="Times New Roman" w:hint="eastAsia"/>
                <w:sz w:val="24"/>
                <w:szCs w:val="24"/>
              </w:rPr>
              <w:t>上海市青浦区赵重路</w:t>
            </w:r>
            <w:r w:rsidRPr="00AD19C1">
              <w:rPr>
                <w:rFonts w:ascii="Times New Roman" w:hAnsi="Times New Roman" w:cs="Times New Roman" w:hint="eastAsia"/>
                <w:sz w:val="24"/>
                <w:szCs w:val="24"/>
              </w:rPr>
              <w:t>217</w:t>
            </w:r>
            <w:r w:rsidRPr="00AD19C1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AD19C1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AD19C1">
              <w:rPr>
                <w:rFonts w:asciiTheme="minorEastAsia" w:hAnsiTheme="minorEastAsia" w:hint="eastAsia"/>
                <w:sz w:val="24"/>
                <w:szCs w:val="24"/>
              </w:rPr>
              <w:t>上海信谊万象药业股份有限公司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AD19C1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D19C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AD19C1">
              <w:rPr>
                <w:rFonts w:ascii="Times New Roman" w:hAnsi="Times New Roman" w:cs="Times New Roman" w:hint="eastAsia"/>
                <w:sz w:val="24"/>
                <w:szCs w:val="24"/>
              </w:rPr>
              <w:t>H10880015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AD19C1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9C1">
              <w:rPr>
                <w:rFonts w:ascii="Times New Roman" w:hAnsi="Times New Roman" w:cs="Times New Roman"/>
                <w:sz w:val="24"/>
                <w:szCs w:val="24"/>
              </w:rPr>
              <w:t>40080401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AD19C1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AD19C1">
              <w:rPr>
                <w:rFonts w:asciiTheme="minorEastAsia" w:hAnsiTheme="minorEastAsia" w:hint="eastAsia"/>
                <w:sz w:val="24"/>
                <w:szCs w:val="24"/>
              </w:rPr>
              <w:t>上海信谊万象药业股份有限公司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AD19C1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9C1">
              <w:rPr>
                <w:rFonts w:ascii="Times New Roman" w:hAnsi="Times New Roman" w:cs="Times New Roman"/>
                <w:sz w:val="24"/>
                <w:szCs w:val="24"/>
              </w:rPr>
              <w:t>B201700139-02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AD19C1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D19C1">
              <w:rPr>
                <w:rFonts w:asciiTheme="minorEastAsia" w:eastAsiaTheme="minorEastAsia" w:hAnsiTheme="minorEastAsia" w:hint="eastAsia"/>
                <w:sz w:val="24"/>
                <w:szCs w:val="24"/>
              </w:rPr>
              <w:t>山西省心血管病医院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AD19C1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D19C1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北京诺和德美医药科技有限公司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AD19C1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D19C1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北京阳光德美医药科技有限公司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AD19C1" w:rsidRPr="00AD19C1">
              <w:rPr>
                <w:rFonts w:asciiTheme="minorEastAsia" w:eastAsiaTheme="minorEastAsia" w:hAnsiTheme="minorEastAsia" w:hint="eastAsia"/>
                <w:sz w:val="24"/>
                <w:szCs w:val="24"/>
              </w:rPr>
              <w:t>地尔硫卓、去乙酰化地尔硫卓和去甲基化地尔硫卓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AD19C1">
        <w:rPr>
          <w:rFonts w:ascii="Times New Roman" w:hAnsi="Times New Roman" w:cs="Times New Roman"/>
          <w:sz w:val="24"/>
          <w:szCs w:val="24"/>
        </w:rPr>
        <w:t>30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AD19C1" w:rsidRPr="00AD19C1">
        <w:rPr>
          <w:rFonts w:asciiTheme="minorEastAsia" w:hAnsiTheme="minorEastAsia" w:hint="eastAsia"/>
          <w:sz w:val="24"/>
          <w:szCs w:val="24"/>
        </w:rPr>
        <w:t>地尔硫卓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AD19C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AD19C1">
              <w:rPr>
                <w:rFonts w:ascii="Times New Roman" w:eastAsiaTheme="minorEastAsia" w:hAnsi="Times New Roman"/>
                <w:sz w:val="21"/>
                <w:szCs w:val="21"/>
              </w:rPr>
              <w:t>32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D19C1" w:rsidRPr="009958B1" w:rsidTr="00EF261B">
        <w:trPr>
          <w:trHeight w:val="20"/>
          <w:jc w:val="center"/>
        </w:trPr>
        <w:tc>
          <w:tcPr>
            <w:tcW w:w="670" w:type="pct"/>
            <w:vMerge/>
          </w:tcPr>
          <w:p w:rsidR="00AD19C1" w:rsidRPr="009958B1" w:rsidRDefault="00AD19C1" w:rsidP="00AD19C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D19C1" w:rsidRPr="009958B1" w:rsidRDefault="00AD19C1" w:rsidP="00AD19C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AD19C1" w:rsidRPr="00AA46C5" w:rsidRDefault="00AD19C1" w:rsidP="00AD19C1">
            <w:pPr>
              <w:jc w:val="center"/>
            </w:pPr>
            <w:r w:rsidRPr="00AA46C5">
              <w:t>18.57</w:t>
            </w:r>
          </w:p>
        </w:tc>
        <w:tc>
          <w:tcPr>
            <w:tcW w:w="621" w:type="pct"/>
          </w:tcPr>
          <w:p w:rsidR="00AD19C1" w:rsidRPr="00AA46C5" w:rsidRDefault="00AD19C1" w:rsidP="00AD19C1">
            <w:pPr>
              <w:jc w:val="center"/>
            </w:pPr>
            <w:r w:rsidRPr="00AA46C5">
              <w:t>20.45</w:t>
            </w:r>
          </w:p>
        </w:tc>
        <w:tc>
          <w:tcPr>
            <w:tcW w:w="712" w:type="pct"/>
          </w:tcPr>
          <w:p w:rsidR="00AD19C1" w:rsidRPr="00AA46C5" w:rsidRDefault="00AD19C1" w:rsidP="00AD19C1">
            <w:pPr>
              <w:jc w:val="center"/>
            </w:pPr>
            <w:r w:rsidRPr="00AA46C5">
              <w:t>90.82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9C1" w:rsidRPr="00AD19C1" w:rsidRDefault="00AD19C1" w:rsidP="00AD19C1">
            <w:pPr>
              <w:jc w:val="center"/>
            </w:pPr>
            <w:r w:rsidRPr="00AD19C1">
              <w:t>82.99%~99.38%</w:t>
            </w:r>
          </w:p>
        </w:tc>
      </w:tr>
      <w:tr w:rsidR="00AD19C1" w:rsidRPr="009958B1" w:rsidTr="00EF261B">
        <w:trPr>
          <w:trHeight w:val="20"/>
          <w:jc w:val="center"/>
        </w:trPr>
        <w:tc>
          <w:tcPr>
            <w:tcW w:w="670" w:type="pct"/>
            <w:vMerge/>
          </w:tcPr>
          <w:p w:rsidR="00AD19C1" w:rsidRPr="009958B1" w:rsidRDefault="00AD19C1" w:rsidP="00AD19C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D19C1" w:rsidRPr="009958B1" w:rsidRDefault="00AD19C1" w:rsidP="00AD19C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AD19C1" w:rsidRPr="00AA46C5" w:rsidRDefault="00AD19C1" w:rsidP="00AD19C1">
            <w:pPr>
              <w:jc w:val="center"/>
            </w:pPr>
            <w:r w:rsidRPr="00AA46C5">
              <w:t>136.38</w:t>
            </w:r>
          </w:p>
        </w:tc>
        <w:tc>
          <w:tcPr>
            <w:tcW w:w="621" w:type="pct"/>
          </w:tcPr>
          <w:p w:rsidR="00AD19C1" w:rsidRPr="00AA46C5" w:rsidRDefault="00AD19C1" w:rsidP="00AD19C1">
            <w:pPr>
              <w:jc w:val="center"/>
            </w:pPr>
            <w:r w:rsidRPr="00AA46C5">
              <w:t>136.18</w:t>
            </w:r>
          </w:p>
        </w:tc>
        <w:tc>
          <w:tcPr>
            <w:tcW w:w="712" w:type="pct"/>
          </w:tcPr>
          <w:p w:rsidR="00AD19C1" w:rsidRPr="00AA46C5" w:rsidRDefault="00AD19C1" w:rsidP="00AD19C1">
            <w:pPr>
              <w:jc w:val="center"/>
            </w:pPr>
            <w:r w:rsidRPr="00AA46C5">
              <w:t>100.15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9C1" w:rsidRPr="00AD19C1" w:rsidRDefault="00AD19C1" w:rsidP="00AD19C1">
            <w:pPr>
              <w:jc w:val="center"/>
            </w:pPr>
            <w:r w:rsidRPr="00AD19C1">
              <w:t>92.49%~108.45%</w:t>
            </w:r>
          </w:p>
        </w:tc>
      </w:tr>
      <w:tr w:rsidR="00AD19C1" w:rsidRPr="009958B1" w:rsidTr="00EF261B">
        <w:trPr>
          <w:trHeight w:val="20"/>
          <w:jc w:val="center"/>
        </w:trPr>
        <w:tc>
          <w:tcPr>
            <w:tcW w:w="670" w:type="pct"/>
            <w:vMerge/>
          </w:tcPr>
          <w:p w:rsidR="00AD19C1" w:rsidRPr="009958B1" w:rsidRDefault="00AD19C1" w:rsidP="00AD19C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D19C1" w:rsidRPr="009958B1" w:rsidRDefault="00AD19C1" w:rsidP="00AD19C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AD19C1" w:rsidRPr="00AA46C5" w:rsidRDefault="00AD19C1" w:rsidP="00AD19C1">
            <w:pPr>
              <w:jc w:val="center"/>
            </w:pPr>
            <w:r w:rsidRPr="00AA46C5">
              <w:t>146.78</w:t>
            </w:r>
          </w:p>
        </w:tc>
        <w:tc>
          <w:tcPr>
            <w:tcW w:w="621" w:type="pct"/>
          </w:tcPr>
          <w:p w:rsidR="00AD19C1" w:rsidRPr="00AA46C5" w:rsidRDefault="00AD19C1" w:rsidP="00AD19C1">
            <w:pPr>
              <w:jc w:val="center"/>
            </w:pPr>
            <w:r w:rsidRPr="00AA46C5">
              <w:t>145.10</w:t>
            </w:r>
          </w:p>
        </w:tc>
        <w:tc>
          <w:tcPr>
            <w:tcW w:w="712" w:type="pct"/>
          </w:tcPr>
          <w:p w:rsidR="00AD19C1" w:rsidRDefault="00AD19C1" w:rsidP="00AD19C1">
            <w:pPr>
              <w:jc w:val="center"/>
            </w:pPr>
            <w:r w:rsidRPr="00AA46C5">
              <w:t>101.16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9C1" w:rsidRPr="00AD19C1" w:rsidRDefault="00AD19C1" w:rsidP="00AD19C1">
            <w:pPr>
              <w:jc w:val="center"/>
            </w:pPr>
            <w:r w:rsidRPr="00AD19C1">
              <w:t>93.35%~109.62%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AD19C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AD19C1">
              <w:rPr>
                <w:rFonts w:ascii="Times New Roman" w:eastAsiaTheme="minorEastAsia" w:hAnsi="Times New Roman"/>
                <w:sz w:val="21"/>
                <w:szCs w:val="21"/>
              </w:rPr>
              <w:t>31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D19C1" w:rsidRPr="009958B1" w:rsidTr="00213E97">
        <w:trPr>
          <w:trHeight w:val="20"/>
          <w:jc w:val="center"/>
        </w:trPr>
        <w:tc>
          <w:tcPr>
            <w:tcW w:w="670" w:type="pct"/>
            <w:vMerge/>
          </w:tcPr>
          <w:p w:rsidR="00AD19C1" w:rsidRPr="009958B1" w:rsidRDefault="00AD19C1" w:rsidP="00AD19C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D19C1" w:rsidRPr="009958B1" w:rsidRDefault="00AD19C1" w:rsidP="00AD19C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C1" w:rsidRPr="00A63F2C" w:rsidRDefault="00AD19C1" w:rsidP="00AD19C1">
            <w:pPr>
              <w:spacing w:line="300" w:lineRule="exact"/>
              <w:jc w:val="center"/>
            </w:pPr>
            <w:r w:rsidRPr="00A63F2C">
              <w:t>28.03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C1" w:rsidRPr="00A63F2C" w:rsidRDefault="00AD19C1" w:rsidP="00AD19C1">
            <w:pPr>
              <w:spacing w:line="300" w:lineRule="exact"/>
              <w:jc w:val="center"/>
            </w:pPr>
            <w:r w:rsidRPr="00A63F2C">
              <w:t>27.77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C1" w:rsidRPr="00A63F2C" w:rsidRDefault="00AD19C1" w:rsidP="00AD19C1">
            <w:pPr>
              <w:spacing w:line="300" w:lineRule="exact"/>
              <w:jc w:val="center"/>
            </w:pPr>
            <w:r w:rsidRPr="00A63F2C">
              <w:t>100.96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C1" w:rsidRPr="00321C44" w:rsidRDefault="00AD19C1" w:rsidP="00AD19C1">
            <w:pPr>
              <w:jc w:val="center"/>
            </w:pPr>
            <w:r w:rsidRPr="00321C44">
              <w:t>92.39%~110.32%</w:t>
            </w:r>
          </w:p>
        </w:tc>
      </w:tr>
      <w:tr w:rsidR="00AD19C1" w:rsidRPr="009958B1" w:rsidTr="00213E97">
        <w:trPr>
          <w:trHeight w:val="20"/>
          <w:jc w:val="center"/>
        </w:trPr>
        <w:tc>
          <w:tcPr>
            <w:tcW w:w="670" w:type="pct"/>
            <w:vMerge/>
          </w:tcPr>
          <w:p w:rsidR="00AD19C1" w:rsidRPr="009958B1" w:rsidRDefault="00AD19C1" w:rsidP="00AD19C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D19C1" w:rsidRPr="009958B1" w:rsidRDefault="00AD19C1" w:rsidP="00AD19C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C1" w:rsidRPr="00A63F2C" w:rsidRDefault="00AD19C1" w:rsidP="00AD19C1">
            <w:pPr>
              <w:spacing w:line="300" w:lineRule="exact"/>
              <w:jc w:val="center"/>
            </w:pPr>
            <w:r w:rsidRPr="00A63F2C">
              <w:t>190.96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C1" w:rsidRPr="00A63F2C" w:rsidRDefault="00AD19C1" w:rsidP="00AD19C1">
            <w:pPr>
              <w:spacing w:line="300" w:lineRule="exact"/>
              <w:jc w:val="center"/>
            </w:pPr>
            <w:r w:rsidRPr="00A63F2C">
              <w:t>191.77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C1" w:rsidRPr="00A63F2C" w:rsidRDefault="00AD19C1" w:rsidP="00AD19C1">
            <w:pPr>
              <w:spacing w:line="300" w:lineRule="exact"/>
              <w:jc w:val="center"/>
            </w:pPr>
            <w:r w:rsidRPr="00A63F2C">
              <w:t>99.58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C1" w:rsidRPr="00321C44" w:rsidRDefault="00AD19C1" w:rsidP="00AD19C1">
            <w:pPr>
              <w:jc w:val="center"/>
            </w:pPr>
            <w:r w:rsidRPr="00321C44">
              <w:t>92.43%~107.28%</w:t>
            </w:r>
          </w:p>
        </w:tc>
      </w:tr>
      <w:tr w:rsidR="00AD19C1" w:rsidRPr="009958B1" w:rsidTr="00213E97">
        <w:trPr>
          <w:trHeight w:val="20"/>
          <w:jc w:val="center"/>
        </w:trPr>
        <w:tc>
          <w:tcPr>
            <w:tcW w:w="670" w:type="pct"/>
            <w:vMerge/>
          </w:tcPr>
          <w:p w:rsidR="00AD19C1" w:rsidRPr="009958B1" w:rsidRDefault="00AD19C1" w:rsidP="00AD19C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D19C1" w:rsidRPr="009958B1" w:rsidRDefault="00AD19C1" w:rsidP="00AD19C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C1" w:rsidRPr="00A63F2C" w:rsidRDefault="00AD19C1" w:rsidP="00AD19C1">
            <w:pPr>
              <w:spacing w:line="300" w:lineRule="exact"/>
              <w:jc w:val="center"/>
            </w:pPr>
            <w:r w:rsidRPr="00A63F2C">
              <w:t>204.13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C1" w:rsidRPr="00A63F2C" w:rsidRDefault="00AD19C1" w:rsidP="00AD19C1">
            <w:pPr>
              <w:spacing w:line="300" w:lineRule="exact"/>
              <w:jc w:val="center"/>
            </w:pPr>
            <w:r w:rsidRPr="00A63F2C">
              <w:t>201.84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C1" w:rsidRDefault="00AD19C1" w:rsidP="00AD19C1">
            <w:pPr>
              <w:spacing w:line="300" w:lineRule="exact"/>
              <w:jc w:val="center"/>
            </w:pPr>
            <w:r w:rsidRPr="00A63F2C">
              <w:t>101.13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9C1" w:rsidRDefault="00AD19C1" w:rsidP="00AD19C1">
            <w:pPr>
              <w:jc w:val="center"/>
            </w:pPr>
            <w:r w:rsidRPr="00321C44">
              <w:t>94.42%~108.32%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6860CC" w:rsidRPr="006860CC">
        <w:rPr>
          <w:rFonts w:ascii="Times New Roman" w:hAnsi="Times New Roman" w:cs="Times New Roman" w:hint="eastAsia"/>
          <w:sz w:val="24"/>
          <w:szCs w:val="24"/>
        </w:rPr>
        <w:t>上海信谊万象药业股份有限公司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6860CC" w:rsidRPr="006860CC">
        <w:rPr>
          <w:rFonts w:asciiTheme="minorEastAsia" w:hAnsiTheme="minorEastAsia" w:hint="eastAsia"/>
          <w:sz w:val="24"/>
          <w:szCs w:val="24"/>
        </w:rPr>
        <w:t>盐酸地尔硫卓片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6860CC" w:rsidRPr="006860CC">
        <w:rPr>
          <w:rFonts w:ascii="Times New Roman" w:hAnsi="Times New Roman" w:cs="Times New Roman"/>
          <w:sz w:val="24"/>
          <w:szCs w:val="24"/>
        </w:rPr>
        <w:t>30mg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DF6" w:rsidRDefault="00B75DF6" w:rsidP="00D45C81">
      <w:r>
        <w:separator/>
      </w:r>
    </w:p>
  </w:endnote>
  <w:endnote w:type="continuationSeparator" w:id="0">
    <w:p w:rsidR="00B75DF6" w:rsidRDefault="00B75DF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860CC" w:rsidRPr="006860C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DF6" w:rsidRDefault="00B75DF6" w:rsidP="00D45C81">
      <w:r>
        <w:separator/>
      </w:r>
    </w:p>
  </w:footnote>
  <w:footnote w:type="continuationSeparator" w:id="0">
    <w:p w:rsidR="00B75DF6" w:rsidRDefault="00B75DF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60C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19C1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75DF6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D7D98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25805-E123-4F7E-A5D0-D8763A4E4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王玉</cp:lastModifiedBy>
  <cp:revision>13</cp:revision>
  <dcterms:created xsi:type="dcterms:W3CDTF">2020-01-07T06:08:00Z</dcterms:created>
  <dcterms:modified xsi:type="dcterms:W3CDTF">2022-01-18T02:53:00Z</dcterms:modified>
</cp:coreProperties>
</file>