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124C1F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124C1F">
              <w:rPr>
                <w:rFonts w:asciiTheme="minorEastAsia" w:hAnsiTheme="minorEastAsia" w:hint="eastAsia"/>
                <w:sz w:val="24"/>
                <w:szCs w:val="24"/>
              </w:rPr>
              <w:t>盐酸克林霉素胶囊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124C1F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24C1F">
              <w:rPr>
                <w:rFonts w:ascii="Times New Roman" w:hAnsi="Times New Roman" w:cs="Times New Roman"/>
                <w:sz w:val="24"/>
                <w:szCs w:val="24"/>
              </w:rPr>
              <w:t>Clindamycin Hydrochloride Capsules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124C1F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124C1F">
              <w:rPr>
                <w:rFonts w:ascii="Times New Roman" w:hAnsi="Times New Roman" w:cs="Times New Roman" w:hint="eastAsia"/>
                <w:sz w:val="24"/>
                <w:szCs w:val="24"/>
              </w:rPr>
              <w:t>0.15g</w:t>
            </w:r>
            <w:r w:rsidRPr="00124C1F">
              <w:rPr>
                <w:rFonts w:ascii="Times New Roman" w:hAnsi="Times New Roman" w:cs="Times New Roman" w:hint="eastAsia"/>
                <w:sz w:val="24"/>
                <w:szCs w:val="24"/>
              </w:rPr>
              <w:t>（按</w:t>
            </w:r>
            <w:r w:rsidRPr="00124C1F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124C1F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18</w:t>
            </w:r>
            <w:r w:rsidRPr="00124C1F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124C1F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33</w:t>
            </w:r>
            <w:r w:rsidRPr="00124C1F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124C1F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l</w:t>
            </w:r>
            <w:r w:rsidRPr="00124C1F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124C1F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2</w:t>
            </w:r>
            <w:r w:rsidRPr="00124C1F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124C1F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5</w:t>
            </w:r>
            <w:r w:rsidRPr="00124C1F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124C1F">
              <w:rPr>
                <w:rFonts w:ascii="Times New Roman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124C1F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24C1F">
              <w:rPr>
                <w:rFonts w:ascii="Times New Roman" w:hAnsi="Times New Roman" w:cs="Times New Roman" w:hint="eastAsia"/>
                <w:sz w:val="24"/>
                <w:szCs w:val="24"/>
              </w:rPr>
              <w:t>华中药业股份有限公司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6434E7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434E7">
              <w:rPr>
                <w:rFonts w:ascii="Times New Roman" w:hAnsi="Times New Roman" w:cs="Times New Roman" w:hint="eastAsia"/>
                <w:sz w:val="24"/>
                <w:szCs w:val="24"/>
              </w:rPr>
              <w:t>湖北省襄阳市岘山路</w:t>
            </w:r>
            <w:r w:rsidRPr="006434E7">
              <w:rPr>
                <w:rFonts w:ascii="Times New Roman" w:hAnsi="Times New Roman" w:cs="Times New Roman" w:hint="eastAsia"/>
                <w:sz w:val="24"/>
                <w:szCs w:val="24"/>
              </w:rPr>
              <w:t>118</w:t>
            </w:r>
            <w:r w:rsidRPr="006434E7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  <w:r w:rsidR="009868E6" w:rsidRPr="009868E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6434E7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434E7">
              <w:rPr>
                <w:rFonts w:asciiTheme="minorEastAsia" w:hAnsiTheme="minorEastAsia" w:hint="eastAsia"/>
                <w:sz w:val="24"/>
                <w:szCs w:val="24"/>
              </w:rPr>
              <w:t>华中药业股份有限公司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6434E7" w:rsidRPr="006434E7">
              <w:rPr>
                <w:rFonts w:ascii="Times New Roman" w:hAnsi="Times New Roman" w:cs="Times New Roman"/>
                <w:sz w:val="24"/>
                <w:szCs w:val="24"/>
              </w:rPr>
              <w:t>H42021471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2D4267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D4267">
              <w:rPr>
                <w:rFonts w:ascii="Times New Roman" w:hAnsi="Times New Roman" w:cs="Times New Roman"/>
                <w:sz w:val="24"/>
                <w:szCs w:val="24"/>
              </w:rPr>
              <w:t>20161103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2D4267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2D4267">
              <w:rPr>
                <w:rFonts w:asciiTheme="minorEastAsia" w:hAnsiTheme="minorEastAsia" w:hint="eastAsia"/>
                <w:sz w:val="24"/>
                <w:szCs w:val="24"/>
              </w:rPr>
              <w:t>华中药业股份有限公司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6C7F8D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C7F8D">
              <w:rPr>
                <w:rFonts w:ascii="Times New Roman" w:hAnsi="Times New Roman" w:cs="Times New Roman"/>
                <w:sz w:val="24"/>
                <w:szCs w:val="24"/>
              </w:rPr>
              <w:t>B201800057-02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6C7F8D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C7F8D">
              <w:rPr>
                <w:rFonts w:asciiTheme="minorEastAsia" w:eastAsiaTheme="minorEastAsia" w:hAnsiTheme="minorEastAsia" w:hint="eastAsia"/>
                <w:sz w:val="24"/>
                <w:szCs w:val="24"/>
              </w:rPr>
              <w:t>辽宁中医药大学附属医院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6C7F8D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C7F8D">
              <w:rPr>
                <w:rFonts w:asciiTheme="minorEastAsia" w:eastAsiaTheme="minorEastAsia" w:hAnsiTheme="minorEastAsia" w:hint="eastAsia"/>
                <w:sz w:val="24"/>
                <w:szCs w:val="24"/>
              </w:rPr>
              <w:t>桂林谷科林科技有限公司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6C7F8D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C7F8D">
              <w:rPr>
                <w:rFonts w:asciiTheme="minorEastAsia" w:eastAsiaTheme="minorEastAsia" w:hAnsiTheme="minorEastAsia" w:hint="eastAsia"/>
                <w:sz w:val="24"/>
                <w:szCs w:val="24"/>
              </w:rPr>
              <w:t>安徽万邦医药科技有限公司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6C7F8D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C7F8D">
              <w:rPr>
                <w:rFonts w:asciiTheme="minorEastAsia" w:eastAsiaTheme="minorEastAsia" w:hAnsiTheme="minorEastAsia" w:hint="eastAsia"/>
                <w:sz w:val="24"/>
                <w:szCs w:val="24"/>
              </w:rPr>
              <w:t>开放、随机、单中心、两周期、两序列自身交叉试验设计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6434E7" w:rsidRPr="006434E7">
              <w:rPr>
                <w:rFonts w:asciiTheme="minorEastAsia" w:eastAsiaTheme="minorEastAsia" w:hAnsiTheme="minorEastAsia" w:hint="eastAsia"/>
                <w:sz w:val="24"/>
                <w:szCs w:val="24"/>
              </w:rPr>
              <w:t>克林霉素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4C710C">
        <w:rPr>
          <w:rFonts w:ascii="Times New Roman" w:hAnsi="Times New Roman" w:cs="Times New Roman"/>
          <w:sz w:val="24"/>
          <w:szCs w:val="24"/>
        </w:rPr>
        <w:t>0.15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4C710C" w:rsidRPr="004C710C">
        <w:rPr>
          <w:rFonts w:asciiTheme="minorEastAsia" w:hAnsiTheme="minorEastAsia" w:hint="eastAsia"/>
          <w:sz w:val="24"/>
          <w:szCs w:val="24"/>
        </w:rPr>
        <w:t>克林霉素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4C710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E328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4C710C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4163F4" w:rsidRPr="009958B1" w:rsidTr="00A300A5">
        <w:trPr>
          <w:trHeight w:val="20"/>
          <w:jc w:val="center"/>
        </w:trPr>
        <w:tc>
          <w:tcPr>
            <w:tcW w:w="670" w:type="pct"/>
            <w:vMerge/>
          </w:tcPr>
          <w:p w:rsidR="004163F4" w:rsidRPr="009958B1" w:rsidRDefault="004163F4" w:rsidP="004163F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163F4" w:rsidRPr="009958B1" w:rsidRDefault="004163F4" w:rsidP="004163F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70A79">
              <w:rPr>
                <w:rFonts w:ascii="Times New Roman" w:eastAsiaTheme="minorEastAsia" w:hAnsi="Times New Roman"/>
                <w:sz w:val="21"/>
                <w:szCs w:val="21"/>
              </w:rPr>
              <w:t>μg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4163F4" w:rsidRPr="00443342" w:rsidRDefault="004163F4" w:rsidP="004163F4">
            <w:pPr>
              <w:widowControl/>
              <w:jc w:val="center"/>
              <w:textAlignment w:val="center"/>
              <w:rPr>
                <w:sz w:val="22"/>
              </w:rPr>
            </w:pPr>
            <w:r w:rsidRPr="00443342">
              <w:rPr>
                <w:color w:val="000000"/>
                <w:sz w:val="22"/>
                <w:lang w:bidi="ar"/>
              </w:rPr>
              <w:t>2.78</w:t>
            </w:r>
          </w:p>
        </w:tc>
        <w:tc>
          <w:tcPr>
            <w:tcW w:w="621" w:type="pct"/>
            <w:vAlign w:val="center"/>
          </w:tcPr>
          <w:p w:rsidR="004163F4" w:rsidRPr="00443342" w:rsidRDefault="004163F4" w:rsidP="004163F4">
            <w:pPr>
              <w:widowControl/>
              <w:jc w:val="center"/>
              <w:textAlignment w:val="center"/>
              <w:rPr>
                <w:sz w:val="22"/>
              </w:rPr>
            </w:pPr>
            <w:r w:rsidRPr="00443342">
              <w:rPr>
                <w:color w:val="000000"/>
                <w:sz w:val="22"/>
                <w:lang w:bidi="ar"/>
              </w:rPr>
              <w:t>2.71</w:t>
            </w:r>
          </w:p>
        </w:tc>
        <w:tc>
          <w:tcPr>
            <w:tcW w:w="712" w:type="pct"/>
            <w:vAlign w:val="center"/>
          </w:tcPr>
          <w:p w:rsidR="004163F4" w:rsidRPr="00443342" w:rsidRDefault="004163F4" w:rsidP="004163F4">
            <w:pPr>
              <w:widowControl/>
              <w:jc w:val="center"/>
              <w:textAlignment w:val="center"/>
              <w:rPr>
                <w:sz w:val="22"/>
              </w:rPr>
            </w:pPr>
            <w:r w:rsidRPr="00443342">
              <w:rPr>
                <w:color w:val="000000"/>
                <w:sz w:val="22"/>
                <w:lang w:bidi="ar"/>
              </w:rPr>
              <w:t>102.72</w:t>
            </w:r>
          </w:p>
        </w:tc>
        <w:tc>
          <w:tcPr>
            <w:tcW w:w="1139" w:type="pct"/>
            <w:vAlign w:val="center"/>
          </w:tcPr>
          <w:p w:rsidR="004163F4" w:rsidRPr="00443342" w:rsidRDefault="004163F4" w:rsidP="004163F4">
            <w:pPr>
              <w:widowControl/>
              <w:jc w:val="center"/>
              <w:textAlignment w:val="center"/>
              <w:rPr>
                <w:sz w:val="22"/>
              </w:rPr>
            </w:pPr>
            <w:r w:rsidRPr="00443342">
              <w:rPr>
                <w:color w:val="000000"/>
                <w:sz w:val="22"/>
                <w:lang w:bidi="ar"/>
              </w:rPr>
              <w:t>94.75-111.37</w:t>
            </w:r>
          </w:p>
        </w:tc>
      </w:tr>
      <w:tr w:rsidR="004163F4" w:rsidRPr="009958B1" w:rsidTr="00A300A5">
        <w:trPr>
          <w:trHeight w:val="20"/>
          <w:jc w:val="center"/>
        </w:trPr>
        <w:tc>
          <w:tcPr>
            <w:tcW w:w="670" w:type="pct"/>
            <w:vMerge/>
          </w:tcPr>
          <w:p w:rsidR="004163F4" w:rsidRPr="009958B1" w:rsidRDefault="004163F4" w:rsidP="004163F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163F4" w:rsidRPr="009958B1" w:rsidRDefault="004163F4" w:rsidP="004163F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E70A79">
              <w:rPr>
                <w:rFonts w:ascii="Times New Roman" w:eastAsiaTheme="minorEastAsia" w:hAnsi="Times New Roman"/>
                <w:sz w:val="21"/>
                <w:szCs w:val="21"/>
              </w:rPr>
              <w:t xml:space="preserve"> </w:t>
            </w:r>
            <w:r w:rsidRPr="00E70A79">
              <w:rPr>
                <w:rFonts w:ascii="Times New Roman" w:eastAsiaTheme="minorEastAsia" w:hAnsi="Times New Roman"/>
                <w:sz w:val="21"/>
                <w:szCs w:val="21"/>
              </w:rPr>
              <w:t>μg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4163F4" w:rsidRPr="00443342" w:rsidRDefault="004163F4" w:rsidP="004163F4">
            <w:pPr>
              <w:widowControl/>
              <w:jc w:val="center"/>
              <w:textAlignment w:val="center"/>
              <w:rPr>
                <w:sz w:val="22"/>
              </w:rPr>
            </w:pPr>
            <w:r w:rsidRPr="00443342">
              <w:rPr>
                <w:color w:val="000000"/>
                <w:sz w:val="22"/>
                <w:lang w:bidi="ar"/>
              </w:rPr>
              <w:t>7.36</w:t>
            </w:r>
          </w:p>
        </w:tc>
        <w:tc>
          <w:tcPr>
            <w:tcW w:w="621" w:type="pct"/>
            <w:vAlign w:val="center"/>
          </w:tcPr>
          <w:p w:rsidR="004163F4" w:rsidRPr="00443342" w:rsidRDefault="004163F4" w:rsidP="004163F4">
            <w:pPr>
              <w:widowControl/>
              <w:jc w:val="center"/>
              <w:textAlignment w:val="center"/>
              <w:rPr>
                <w:sz w:val="22"/>
              </w:rPr>
            </w:pPr>
            <w:r w:rsidRPr="00443342">
              <w:rPr>
                <w:color w:val="000000"/>
                <w:sz w:val="22"/>
                <w:lang w:bidi="ar"/>
              </w:rPr>
              <w:t>7.01</w:t>
            </w:r>
          </w:p>
        </w:tc>
        <w:tc>
          <w:tcPr>
            <w:tcW w:w="712" w:type="pct"/>
            <w:vAlign w:val="center"/>
          </w:tcPr>
          <w:p w:rsidR="004163F4" w:rsidRPr="00443342" w:rsidRDefault="004163F4" w:rsidP="004163F4">
            <w:pPr>
              <w:widowControl/>
              <w:jc w:val="center"/>
              <w:textAlignment w:val="center"/>
              <w:rPr>
                <w:sz w:val="22"/>
              </w:rPr>
            </w:pPr>
            <w:r w:rsidRPr="00443342">
              <w:rPr>
                <w:color w:val="000000"/>
                <w:sz w:val="22"/>
                <w:lang w:bidi="ar"/>
              </w:rPr>
              <w:t>105.08</w:t>
            </w:r>
          </w:p>
        </w:tc>
        <w:tc>
          <w:tcPr>
            <w:tcW w:w="1139" w:type="pct"/>
            <w:vAlign w:val="center"/>
          </w:tcPr>
          <w:p w:rsidR="004163F4" w:rsidRPr="00443342" w:rsidRDefault="004163F4" w:rsidP="004163F4">
            <w:pPr>
              <w:widowControl/>
              <w:jc w:val="center"/>
              <w:textAlignment w:val="center"/>
              <w:rPr>
                <w:sz w:val="22"/>
              </w:rPr>
            </w:pPr>
            <w:r w:rsidRPr="00443342">
              <w:rPr>
                <w:color w:val="000000"/>
                <w:sz w:val="22"/>
                <w:lang w:bidi="ar"/>
              </w:rPr>
              <w:t>98.81-111.74</w:t>
            </w:r>
          </w:p>
        </w:tc>
      </w:tr>
      <w:tr w:rsidR="004163F4" w:rsidRPr="009958B1" w:rsidTr="00A300A5">
        <w:trPr>
          <w:trHeight w:val="20"/>
          <w:jc w:val="center"/>
        </w:trPr>
        <w:tc>
          <w:tcPr>
            <w:tcW w:w="670" w:type="pct"/>
            <w:vMerge/>
          </w:tcPr>
          <w:p w:rsidR="004163F4" w:rsidRPr="009958B1" w:rsidRDefault="004163F4" w:rsidP="004163F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163F4" w:rsidRPr="009958B1" w:rsidRDefault="004163F4" w:rsidP="004163F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E70A79">
              <w:rPr>
                <w:rFonts w:ascii="Times New Roman" w:eastAsiaTheme="minorEastAsia" w:hAnsi="Times New Roman"/>
                <w:sz w:val="21"/>
                <w:szCs w:val="21"/>
              </w:rPr>
              <w:t xml:space="preserve"> </w:t>
            </w:r>
            <w:r w:rsidRPr="00E70A79">
              <w:rPr>
                <w:rFonts w:ascii="Times New Roman" w:eastAsiaTheme="minorEastAsia" w:hAnsi="Times New Roman"/>
                <w:sz w:val="21"/>
                <w:szCs w:val="21"/>
              </w:rPr>
              <w:t>μg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4163F4" w:rsidRPr="00443342" w:rsidRDefault="004163F4" w:rsidP="004163F4">
            <w:pPr>
              <w:widowControl/>
              <w:jc w:val="center"/>
              <w:textAlignment w:val="center"/>
              <w:rPr>
                <w:sz w:val="22"/>
              </w:rPr>
            </w:pPr>
            <w:r w:rsidRPr="00443342">
              <w:rPr>
                <w:color w:val="000000"/>
                <w:sz w:val="22"/>
                <w:lang w:bidi="ar"/>
              </w:rPr>
              <w:t>7.52</w:t>
            </w:r>
          </w:p>
        </w:tc>
        <w:tc>
          <w:tcPr>
            <w:tcW w:w="621" w:type="pct"/>
            <w:vAlign w:val="center"/>
          </w:tcPr>
          <w:p w:rsidR="004163F4" w:rsidRPr="00443342" w:rsidRDefault="004163F4" w:rsidP="004163F4">
            <w:pPr>
              <w:widowControl/>
              <w:jc w:val="center"/>
              <w:textAlignment w:val="center"/>
              <w:rPr>
                <w:sz w:val="22"/>
              </w:rPr>
            </w:pPr>
            <w:r w:rsidRPr="00443342">
              <w:rPr>
                <w:color w:val="000000"/>
                <w:sz w:val="22"/>
                <w:lang w:bidi="ar"/>
              </w:rPr>
              <w:t>7.18</w:t>
            </w:r>
          </w:p>
        </w:tc>
        <w:tc>
          <w:tcPr>
            <w:tcW w:w="712" w:type="pct"/>
            <w:vAlign w:val="center"/>
          </w:tcPr>
          <w:p w:rsidR="004163F4" w:rsidRPr="00443342" w:rsidRDefault="004163F4" w:rsidP="004163F4">
            <w:pPr>
              <w:widowControl/>
              <w:jc w:val="center"/>
              <w:textAlignment w:val="center"/>
              <w:rPr>
                <w:sz w:val="22"/>
              </w:rPr>
            </w:pPr>
            <w:r w:rsidRPr="00443342">
              <w:rPr>
                <w:color w:val="000000"/>
                <w:sz w:val="22"/>
                <w:lang w:bidi="ar"/>
              </w:rPr>
              <w:t xml:space="preserve">104.79 </w:t>
            </w:r>
          </w:p>
        </w:tc>
        <w:tc>
          <w:tcPr>
            <w:tcW w:w="1139" w:type="pct"/>
            <w:vAlign w:val="center"/>
          </w:tcPr>
          <w:p w:rsidR="004163F4" w:rsidRPr="00443342" w:rsidRDefault="004163F4" w:rsidP="004163F4">
            <w:pPr>
              <w:widowControl/>
              <w:jc w:val="center"/>
              <w:textAlignment w:val="center"/>
              <w:rPr>
                <w:sz w:val="22"/>
              </w:rPr>
            </w:pPr>
            <w:r w:rsidRPr="00443342">
              <w:rPr>
                <w:color w:val="000000"/>
                <w:sz w:val="22"/>
                <w:lang w:bidi="ar"/>
              </w:rPr>
              <w:t>98.34-111.66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E70A7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E70A79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4163F4" w:rsidRPr="009958B1" w:rsidTr="000E7E06">
        <w:trPr>
          <w:trHeight w:val="20"/>
          <w:jc w:val="center"/>
        </w:trPr>
        <w:tc>
          <w:tcPr>
            <w:tcW w:w="670" w:type="pct"/>
            <w:vMerge/>
          </w:tcPr>
          <w:p w:rsidR="004163F4" w:rsidRPr="009958B1" w:rsidRDefault="004163F4" w:rsidP="004163F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163F4" w:rsidRPr="009958B1" w:rsidRDefault="004163F4" w:rsidP="004163F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70A79">
              <w:rPr>
                <w:rFonts w:ascii="Times New Roman" w:eastAsiaTheme="minorEastAsia" w:hAnsi="Times New Roman"/>
                <w:sz w:val="21"/>
                <w:szCs w:val="21"/>
              </w:rPr>
              <w:t>μg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4163F4" w:rsidRPr="00443342" w:rsidRDefault="004163F4" w:rsidP="004163F4">
            <w:pPr>
              <w:widowControl/>
              <w:jc w:val="center"/>
              <w:textAlignment w:val="center"/>
              <w:rPr>
                <w:sz w:val="22"/>
              </w:rPr>
            </w:pPr>
            <w:r w:rsidRPr="00443342">
              <w:rPr>
                <w:color w:val="000000"/>
                <w:sz w:val="22"/>
                <w:lang w:bidi="ar"/>
              </w:rPr>
              <w:t>1.89</w:t>
            </w:r>
          </w:p>
        </w:tc>
        <w:tc>
          <w:tcPr>
            <w:tcW w:w="621" w:type="pct"/>
            <w:vAlign w:val="center"/>
          </w:tcPr>
          <w:p w:rsidR="004163F4" w:rsidRPr="00443342" w:rsidRDefault="004163F4" w:rsidP="004163F4">
            <w:pPr>
              <w:widowControl/>
              <w:jc w:val="center"/>
              <w:textAlignment w:val="center"/>
              <w:rPr>
                <w:sz w:val="22"/>
              </w:rPr>
            </w:pPr>
            <w:r w:rsidRPr="00443342">
              <w:rPr>
                <w:color w:val="000000"/>
                <w:sz w:val="22"/>
                <w:lang w:bidi="ar"/>
              </w:rPr>
              <w:t>2.01</w:t>
            </w:r>
          </w:p>
        </w:tc>
        <w:tc>
          <w:tcPr>
            <w:tcW w:w="712" w:type="pct"/>
            <w:vAlign w:val="center"/>
          </w:tcPr>
          <w:p w:rsidR="004163F4" w:rsidRPr="00443342" w:rsidRDefault="004163F4" w:rsidP="004163F4">
            <w:pPr>
              <w:widowControl/>
              <w:jc w:val="center"/>
              <w:textAlignment w:val="center"/>
              <w:rPr>
                <w:color w:val="000000"/>
                <w:sz w:val="22"/>
                <w:lang w:bidi="ar"/>
              </w:rPr>
            </w:pPr>
            <w:r w:rsidRPr="00443342">
              <w:rPr>
                <w:color w:val="000000"/>
                <w:sz w:val="22"/>
                <w:lang w:bidi="ar"/>
              </w:rPr>
              <w:t xml:space="preserve">94.00 </w:t>
            </w:r>
          </w:p>
        </w:tc>
        <w:tc>
          <w:tcPr>
            <w:tcW w:w="1139" w:type="pct"/>
            <w:vAlign w:val="center"/>
          </w:tcPr>
          <w:p w:rsidR="004163F4" w:rsidRPr="00443342" w:rsidRDefault="004163F4" w:rsidP="004163F4">
            <w:pPr>
              <w:widowControl/>
              <w:jc w:val="center"/>
              <w:textAlignment w:val="center"/>
              <w:rPr>
                <w:sz w:val="22"/>
              </w:rPr>
            </w:pPr>
            <w:r w:rsidRPr="00443342">
              <w:rPr>
                <w:color w:val="000000"/>
                <w:sz w:val="22"/>
                <w:lang w:bidi="ar"/>
              </w:rPr>
              <w:t>84.81-104.19</w:t>
            </w:r>
          </w:p>
        </w:tc>
      </w:tr>
      <w:tr w:rsidR="004163F4" w:rsidRPr="009958B1" w:rsidTr="000E7E06">
        <w:trPr>
          <w:trHeight w:val="20"/>
          <w:jc w:val="center"/>
        </w:trPr>
        <w:tc>
          <w:tcPr>
            <w:tcW w:w="670" w:type="pct"/>
            <w:vMerge/>
          </w:tcPr>
          <w:p w:rsidR="004163F4" w:rsidRPr="009958B1" w:rsidRDefault="004163F4" w:rsidP="004163F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163F4" w:rsidRPr="009958B1" w:rsidRDefault="004163F4" w:rsidP="004163F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E70A79">
              <w:rPr>
                <w:rFonts w:ascii="Times New Roman" w:eastAsiaTheme="minorEastAsia" w:hAnsi="Times New Roman"/>
                <w:sz w:val="21"/>
                <w:szCs w:val="21"/>
              </w:rPr>
              <w:t xml:space="preserve"> </w:t>
            </w:r>
            <w:r w:rsidRPr="00E70A79">
              <w:rPr>
                <w:rFonts w:ascii="Times New Roman" w:eastAsiaTheme="minorEastAsia" w:hAnsi="Times New Roman"/>
                <w:sz w:val="21"/>
                <w:szCs w:val="21"/>
              </w:rPr>
              <w:t>μg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4163F4" w:rsidRPr="00443342" w:rsidRDefault="004163F4" w:rsidP="004163F4">
            <w:pPr>
              <w:widowControl/>
              <w:jc w:val="center"/>
              <w:textAlignment w:val="center"/>
              <w:rPr>
                <w:sz w:val="22"/>
              </w:rPr>
            </w:pPr>
            <w:r w:rsidRPr="00443342">
              <w:rPr>
                <w:color w:val="000000"/>
                <w:sz w:val="22"/>
                <w:lang w:bidi="ar"/>
              </w:rPr>
              <w:t>9.08</w:t>
            </w:r>
          </w:p>
        </w:tc>
        <w:tc>
          <w:tcPr>
            <w:tcW w:w="621" w:type="pct"/>
            <w:vAlign w:val="center"/>
          </w:tcPr>
          <w:p w:rsidR="004163F4" w:rsidRPr="00443342" w:rsidRDefault="004163F4" w:rsidP="004163F4">
            <w:pPr>
              <w:widowControl/>
              <w:jc w:val="center"/>
              <w:textAlignment w:val="center"/>
              <w:rPr>
                <w:sz w:val="22"/>
              </w:rPr>
            </w:pPr>
            <w:r w:rsidRPr="00443342">
              <w:rPr>
                <w:color w:val="000000"/>
                <w:sz w:val="22"/>
                <w:lang w:bidi="ar"/>
              </w:rPr>
              <w:t>8.80</w:t>
            </w:r>
          </w:p>
        </w:tc>
        <w:tc>
          <w:tcPr>
            <w:tcW w:w="712" w:type="pct"/>
            <w:vAlign w:val="center"/>
          </w:tcPr>
          <w:p w:rsidR="004163F4" w:rsidRPr="00443342" w:rsidRDefault="004163F4" w:rsidP="004163F4">
            <w:pPr>
              <w:widowControl/>
              <w:jc w:val="center"/>
              <w:textAlignment w:val="center"/>
              <w:rPr>
                <w:sz w:val="22"/>
              </w:rPr>
            </w:pPr>
            <w:r w:rsidRPr="00443342">
              <w:rPr>
                <w:color w:val="000000"/>
                <w:sz w:val="22"/>
                <w:lang w:bidi="ar"/>
              </w:rPr>
              <w:t>103.21</w:t>
            </w:r>
          </w:p>
        </w:tc>
        <w:tc>
          <w:tcPr>
            <w:tcW w:w="1139" w:type="pct"/>
            <w:vAlign w:val="center"/>
          </w:tcPr>
          <w:p w:rsidR="004163F4" w:rsidRPr="00443342" w:rsidRDefault="004163F4" w:rsidP="004163F4">
            <w:pPr>
              <w:widowControl/>
              <w:jc w:val="center"/>
              <w:textAlignment w:val="center"/>
              <w:rPr>
                <w:sz w:val="22"/>
              </w:rPr>
            </w:pPr>
            <w:r w:rsidRPr="00443342">
              <w:rPr>
                <w:color w:val="000000"/>
                <w:sz w:val="22"/>
                <w:lang w:bidi="ar"/>
              </w:rPr>
              <w:t>94.33-112.92</w:t>
            </w:r>
          </w:p>
        </w:tc>
      </w:tr>
      <w:tr w:rsidR="004163F4" w:rsidRPr="009958B1" w:rsidTr="000E7E06">
        <w:trPr>
          <w:trHeight w:val="20"/>
          <w:jc w:val="center"/>
        </w:trPr>
        <w:tc>
          <w:tcPr>
            <w:tcW w:w="670" w:type="pct"/>
            <w:vMerge/>
          </w:tcPr>
          <w:p w:rsidR="004163F4" w:rsidRPr="009958B1" w:rsidRDefault="004163F4" w:rsidP="004163F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163F4" w:rsidRPr="009958B1" w:rsidRDefault="004163F4" w:rsidP="004163F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E70A79">
              <w:rPr>
                <w:rFonts w:ascii="Times New Roman" w:eastAsiaTheme="minorEastAsia" w:hAnsi="Times New Roman"/>
                <w:sz w:val="21"/>
                <w:szCs w:val="21"/>
              </w:rPr>
              <w:t xml:space="preserve"> </w:t>
            </w:r>
            <w:r w:rsidRPr="00E70A79">
              <w:rPr>
                <w:rFonts w:ascii="Times New Roman" w:eastAsiaTheme="minorEastAsia" w:hAnsi="Times New Roman"/>
                <w:sz w:val="21"/>
                <w:szCs w:val="21"/>
              </w:rPr>
              <w:t>μg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4163F4" w:rsidRPr="00443342" w:rsidRDefault="004163F4" w:rsidP="004163F4">
            <w:pPr>
              <w:widowControl/>
              <w:jc w:val="center"/>
              <w:textAlignment w:val="center"/>
              <w:rPr>
                <w:sz w:val="22"/>
              </w:rPr>
            </w:pPr>
            <w:r w:rsidRPr="00443342">
              <w:rPr>
                <w:color w:val="000000"/>
                <w:sz w:val="22"/>
                <w:lang w:bidi="ar"/>
              </w:rPr>
              <w:t>8.96</w:t>
            </w:r>
          </w:p>
        </w:tc>
        <w:tc>
          <w:tcPr>
            <w:tcW w:w="621" w:type="pct"/>
            <w:vAlign w:val="center"/>
          </w:tcPr>
          <w:p w:rsidR="004163F4" w:rsidRPr="00443342" w:rsidRDefault="004163F4" w:rsidP="004163F4">
            <w:pPr>
              <w:widowControl/>
              <w:jc w:val="center"/>
              <w:textAlignment w:val="center"/>
              <w:rPr>
                <w:sz w:val="22"/>
              </w:rPr>
            </w:pPr>
            <w:r w:rsidRPr="00443342">
              <w:rPr>
                <w:sz w:val="22"/>
              </w:rPr>
              <w:t>8.67</w:t>
            </w:r>
          </w:p>
        </w:tc>
        <w:tc>
          <w:tcPr>
            <w:tcW w:w="712" w:type="pct"/>
            <w:vAlign w:val="center"/>
          </w:tcPr>
          <w:p w:rsidR="004163F4" w:rsidRPr="00443342" w:rsidRDefault="004163F4" w:rsidP="004163F4">
            <w:pPr>
              <w:widowControl/>
              <w:jc w:val="center"/>
              <w:textAlignment w:val="center"/>
              <w:rPr>
                <w:sz w:val="22"/>
              </w:rPr>
            </w:pPr>
            <w:r w:rsidRPr="00443342">
              <w:rPr>
                <w:color w:val="000000"/>
                <w:sz w:val="22"/>
                <w:lang w:bidi="ar"/>
              </w:rPr>
              <w:t>103.35</w:t>
            </w:r>
          </w:p>
        </w:tc>
        <w:tc>
          <w:tcPr>
            <w:tcW w:w="1139" w:type="pct"/>
            <w:vAlign w:val="center"/>
          </w:tcPr>
          <w:p w:rsidR="004163F4" w:rsidRPr="00443342" w:rsidRDefault="004163F4" w:rsidP="004163F4">
            <w:pPr>
              <w:widowControl/>
              <w:jc w:val="center"/>
              <w:textAlignment w:val="center"/>
              <w:rPr>
                <w:sz w:val="22"/>
              </w:rPr>
            </w:pPr>
            <w:r w:rsidRPr="00443342">
              <w:rPr>
                <w:color w:val="000000"/>
                <w:sz w:val="22"/>
                <w:lang w:bidi="ar"/>
              </w:rPr>
              <w:t>93.99-113.64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4163F4" w:rsidRPr="004163F4">
        <w:rPr>
          <w:rFonts w:ascii="Times New Roman" w:hAnsi="Times New Roman" w:cs="Times New Roman" w:hint="eastAsia"/>
          <w:sz w:val="24"/>
          <w:szCs w:val="24"/>
        </w:rPr>
        <w:t>华中药业股份有限公司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4163F4" w:rsidRPr="004163F4">
        <w:rPr>
          <w:rFonts w:asciiTheme="minorEastAsia" w:hAnsiTheme="minorEastAsia" w:hint="eastAsia"/>
          <w:sz w:val="24"/>
          <w:szCs w:val="24"/>
        </w:rPr>
        <w:t>盐酸克林霉素胶囊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4163F4">
        <w:rPr>
          <w:rFonts w:ascii="Times New Roman" w:hAnsi="Times New Roman" w:cs="Times New Roman"/>
          <w:sz w:val="24"/>
          <w:szCs w:val="24"/>
        </w:rPr>
        <w:t>0.15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AB4" w:rsidRDefault="00A75AB4" w:rsidP="00D45C81">
      <w:r>
        <w:separator/>
      </w:r>
    </w:p>
  </w:endnote>
  <w:endnote w:type="continuationSeparator" w:id="0">
    <w:p w:rsidR="00A75AB4" w:rsidRDefault="00A75AB4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163F4" w:rsidRPr="004163F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AB4" w:rsidRDefault="00A75AB4" w:rsidP="00D45C81">
      <w:r>
        <w:separator/>
      </w:r>
    </w:p>
  </w:footnote>
  <w:footnote w:type="continuationSeparator" w:id="0">
    <w:p w:rsidR="00A75AB4" w:rsidRDefault="00A75AB4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24C1F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4267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3F4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C710C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34E7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C7F8D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75AB4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0A79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8864D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45E37-FF8B-407B-BA32-D6CBB095F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李娜</cp:lastModifiedBy>
  <cp:revision>12</cp:revision>
  <dcterms:created xsi:type="dcterms:W3CDTF">2020-01-07T06:08:00Z</dcterms:created>
  <dcterms:modified xsi:type="dcterms:W3CDTF">2022-01-05T07:45:00Z</dcterms:modified>
</cp:coreProperties>
</file>