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актуальность геометрии, защита шин без опор, команда ATFZONERESET, ограничения расчётной схемы из главы 13 и ведомости облицовки/подсистемы и регистрация ручных деталей из разделов 8.3–8.8. Пока сборки нет, изучайте материал и учебные исходники, но не считайте старый комплект прошедшим этот сценарий. Идентификатор проверенного кода приведён в листе версии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считает элементы схемы и длины профилей; он не подтверждает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подсистемы ATFTABLE, проверьте сохранённое примечание и высоту текста. Меняется выбранная таблица на прежнем месте, без второй копии. Ведомость облицовки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bookmarkStart w:id="386" w:name="chapter_10"/>
      <w:pPr>
        <w:pStyle w:val="Heading1"/>
      </w:pPr>
      <w:r>
        <w:t>9 Как проверять весь фасад не запутавшись в слоях</w:t>
      </w:r>
      <w:bookmarkEnd w:id="38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03" w:name="chapter_11"/>
      <w:pPr>
        <w:pStyle w:val="Heading1"/>
      </w:pPr>
      <w:r>
        <w:t>10 Изменения повторный запуск и отмена</w:t>
      </w:r>
      <w:bookmarkEnd w:id="40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52" w:name="chapter_12"/>
      <w:pPr>
        <w:pStyle w:val="Heading1"/>
      </w:pPr>
      <w:r>
        <w:t>11 Второе упражнение фронтон со скатами</w:t>
      </w:r>
      <w:bookmarkEnd w:id="45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68" w:name="chapter_13"/>
      <w:pPr>
        <w:pStyle w:val="Heading1"/>
      </w:pPr>
      <w:r>
        <w:t>12 ATTILE справочник режимов после первого урока</w:t>
      </w:r>
      <w:bookmarkEnd w:id="46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04" w:name="chapter_14"/>
      <w:pPr>
        <w:pStyle w:val="Heading1"/>
      </w:pPr>
      <w:r>
        <w:t>13 ATFRAME какие режимы выбирать</w:t>
      </w:r>
      <w:bookmarkEnd w:id="50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554" w:name="chapter_15"/>
      <w:pPr>
        <w:pStyle w:val="Heading1"/>
      </w:pPr>
      <w:r>
        <w:t>14 Размеры и поиск дублей</w:t>
      </w:r>
      <w:bookmarkEnd w:id="554"/>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562" w:name="chapter_16"/>
      <w:pPr>
        <w:pStyle w:val="Heading1"/>
      </w:pPr>
      <w:r>
        <w:t>15 Зачем осталась команда ATCLAD</w:t>
      </w:r>
      <w:bookmarkEnd w:id="562"/>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570" w:name="chapter_17"/>
      <w:pPr>
        <w:pStyle w:val="Heading1"/>
      </w:pPr>
      <w:r>
        <w:t>16 Частые ошибки что делать по сообщению</w:t>
      </w:r>
      <w:bookmarkEnd w:id="57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3690"/>
        <w:gridCol w:w="3690"/>
      </w:tblGrid>
      <w:tr>
        <w:trPr>
          <w:cantSplit/>
          <w:tblHeader/>
        </w:trPr>
        <w:tc>
          <w:tcPr>
            <w:tcW w:type="dxa" w:w="2700"/>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603" w:name="chapter_18"/>
      <w:pPr>
        <w:pStyle w:val="Heading1"/>
      </w:pPr>
      <w:r>
        <w:t>17 Сохранение и передача результата</w:t>
      </w:r>
      <w:bookmarkEnd w:id="60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613" w:name="chapter_19"/>
      <w:pPr>
        <w:pStyle w:val="Heading1"/>
      </w:pPr>
      <w:r>
        <w:t>18 Как сообщить о проблеме чтобы её можно было исправить</w:t>
      </w:r>
      <w:bookmarkEnd w:id="613"/>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619" w:name="chapter_20"/>
      <w:pPr>
        <w:pStyle w:val="Heading1"/>
      </w:pPr>
      <w:r>
        <w:t>19 Словарь начинающего пользователя</w:t>
      </w:r>
      <w:bookmarkEnd w:id="61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650" w:name="chapter_21"/>
      <w:pPr>
        <w:pStyle w:val="Heading1"/>
      </w:pPr>
      <w:r>
        <w:t>20 Финальная самопроверка первого урока</w:t>
      </w:r>
      <w:bookmarkEnd w:id="650"/>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понятно, что учебная геометрия и успешный ограниченный расчёт не подтверждают статическую модель всего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