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Проверка альбомов технических решений и AFrame</w:t>
      </w:r>
    </w:p>
    <w:p>
      <w:r>
        <w:t>Итоговый отчёт за 30.09.2026</w:t>
      </w:r>
    </w:p>
    <w:p>
      <w:r>
        <w:t>Срез исправлений: 19e3dd0b2a415f8758c1075668cef4d0f0c64bc7.</w:t>
      </w:r>
    </w:p>
    <w:p>
      <w:r>
        <w:t>Проверка выявила ошибки в расчётных исходных и допуске результата, а также слишком широкие выводы прежних конспектов АТР. В исходники внесены адресные исправления: масса следует выбранному профилю, расчётная схема согласуется с геометрией, неизвестные сечения и неподдержанные свободные концы не получают положительный расчётный результат.</w:t>
      </w:r>
    </w:p>
    <w:p>
      <w:r>
        <w:t>AFrame остаётся инструментом для ограниченных схем каркаса и их расчётных проверок. Выданная схема не равна полному комплекту узлов производителя, пожарному решению или инженерной приёмке объекта. Реестр теперь явно описывает происхождение параметров и эти границы.</w:t>
      </w:r>
    </w:p>
    <w:p>
      <w:pPr>
        <w:pStyle w:val="Heading2"/>
      </w:pPr>
      <w:r>
        <w:t>Основные изменения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2154"/>
        <w:gridCol w:w="7824"/>
      </w:tblGrid>
      <w:tr>
        <w:trPr>
          <w:tblHeader/>
          <w:cantSplit/>
        </w:trPr>
        <w:tc>
          <w:tcPr>
            <w:tcW w:type="dxa" w:w="2154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Область</w:t>
            </w:r>
          </w:p>
        </w:tc>
        <w:tc>
          <w:tcPr>
            <w:tcW w:type="dxa" w:w="7824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Результат ревизии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Масса профиля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В расчёт входит масса выбранного сечения и известных дополнительных элементов; большая проектная нагрузка сохраняется.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Схема расчёта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Подмена vertical и interfloor в расширенном запросе отвергается до выдачи геометрии.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НСП и сечения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Свободные концы НСП и неподтверждённый ГП-60-40 получают адресный отказ в расчётном режиме.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Идентичность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Неизвестные имя системы, код схемы и облицовка не превращаются молча в поддержанный вариант.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Источники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Тип 5 выделен отдельно; проектные числа и условные узлы не объявляются универсальными нормами.</w:t>
            </w:r>
          </w:p>
        </w:tc>
      </w:tr>
    </w:tbl>
    <w:p>
      <w:pPr>
        <w:spacing w:after="20"/>
      </w:pPr>
    </w:p>
    <w:p>
      <w:r>
        <w:t>Область изменений: AFrame, реестр применимости, документация и проверки. Код ATableSpec и ABlockGen в этой ревизии не изменялся. Проверка исходников и исполнения отдельных методов не заменяет работу команд внутри AutoCAD.</w:t>
      </w:r>
    </w:p>
    <w:p>
      <w:r>
        <w:br w:type="page"/>
      </w:r>
    </w:p>
    <w:p>
      <w:pPr>
        <w:pStyle w:val="Heading1"/>
      </w:pPr>
      <w:r>
        <w:t>Типы альбомов и три схемы программы</w:t>
      </w:r>
    </w:p>
    <w:p>
      <w:r>
        <w:t>Сопоставлены исторические АТР Вектор-1 2015 года и Вектор-5 2017 года. Номер страницы PDF и номер листа в штампе приводятся отдельно: в оригиналах встречаются повторяющиеся обозначения.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794"/>
        <w:gridCol w:w="1871"/>
        <w:gridCol w:w="1871"/>
        <w:gridCol w:w="5443"/>
      </w:tblGrid>
      <w:tr>
        <w:trPr>
          <w:tblHeader/>
          <w:cantSplit/>
        </w:trPr>
        <w:tc>
          <w:tcPr>
            <w:tcW w:type="dxa" w:w="794"/>
            <w:shd w:fill="E7E7E7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Тип</w:t>
            </w:r>
          </w:p>
        </w:tc>
        <w:tc>
          <w:tcPr>
            <w:tcW w:type="dxa" w:w="1871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Вектор 1</w:t>
              <w:br/>
              <w:t>PDF / лист</w:t>
            </w:r>
          </w:p>
        </w:tc>
        <w:tc>
          <w:tcPr>
            <w:tcW w:type="dxa" w:w="1871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Вектор 5</w:t>
              <w:br/>
              <w:t>PDF / лист</w:t>
            </w:r>
          </w:p>
        </w:tc>
        <w:tc>
          <w:tcPr>
            <w:tcW w:type="dxa" w:w="5443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Схема программы и граница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18 / 4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19 / 4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vertical — вертикальная Г/Т/НГ. Реализована часть профилей и правил.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29 / 4*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29 / 5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vertical — С/Омега с КП. Полной отдельной матрицы СП/КП нет.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39 / 6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40 / 6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ortho — ортогональная неусиленная. Соответствие частичное.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52 / 7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46 / 7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interfloor — часть усиленной схемы НГП → НСП/НШП. Полная сборка не подтверждена.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61 / 8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55 / 8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Прямое опирание НСП на КПК/КР1 без НГП. Самостоятельного генератора и пункта формы нет.</w:t>
            </w:r>
          </w:p>
        </w:tc>
      </w:tr>
    </w:tbl>
    <w:p>
      <w:pPr>
        <w:spacing w:after="20"/>
      </w:pPr>
    </w:p>
    <w:p>
      <w:r>
        <w:t>* На странице 29 АТР Вектор-1 в штампе действительно повторён номер 4; это не исправленная нумерация отчёта.</w:t>
      </w:r>
    </w:p>
    <w:p>
      <w:pPr>
        <w:pStyle w:val="Heading2"/>
      </w:pPr>
      <w:r>
        <w:t>Тип 4 не определяется одним названием</w:t>
      </w:r>
    </w:p>
    <w:p>
      <w:r>
        <w:t>Альбомный тип 4 называется ортогональным усиленным. Его топология ближе к коду interfloor, чем к пункту ortho. Вектор-1 не устанавливает рассмотренными разрезами универсальное требование крепить тип 4 только в плиту или пояс: основание и анкеровка выбираются проектом. Поэтому такое сопоставление обозначено как частичное.</w:t>
      </w:r>
    </w:p>
    <w:p>
      <w:pPr>
        <w:pStyle w:val="Heading2"/>
      </w:pPr>
      <w:r>
        <w:t>Тип 5 требует отдельной реализации</w:t>
      </w:r>
    </w:p>
    <w:p>
      <w:r>
        <w:t>Наличие НСП в двух схемах не делает их взаимозаменяемыми. Тип 5 передаёт усилия без горизонтального НГП. Чистая расчётная формула interfloor_direct сохранена для воспроизведения исходных расчётов, однако её нельзя применять к геометрии другой схемы и выдавать за реализованный тип 5.</w:t>
      </w:r>
    </w:p>
    <w:p>
      <w:r>
        <w:t>Марки производителя, серия, редакция АТР и выбранный узел остаются отдельными измерениями. Реестр frame_rules.py хранит основания сопоставления, но не присваивает результату неподтверждённый паспорт производителя.</w:t>
      </w:r>
    </w:p>
    <w:p>
      <w:r>
        <w:br w:type="page"/>
      </w:r>
    </w:p>
    <w:p>
      <w:pPr>
        <w:pStyle w:val="Heading1"/>
      </w:pPr>
      <w:r>
        <w:t>Крепление облицовки и состав узлов</w:t>
      </w:r>
    </w:p>
    <w:p>
      <w:r>
        <w:t>Тип несущего каркаса и способ крепления облицовки — разные характеристики; их совместимость требует выбранного монтажного узла. Одинаковая лицевая сетка плит или кассет не означает одинаковые детали, соединения и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2211"/>
        <w:gridCol w:w="7767"/>
      </w:tblGrid>
      <w:tr>
        <w:trPr>
          <w:tblHeader/>
          <w:cantSplit/>
        </w:trPr>
        <w:tc>
          <w:tcPr>
            <w:tcW w:type="dxa" w:w="2211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Облицовка</w:t>
            </w:r>
          </w:p>
        </w:tc>
        <w:tc>
          <w:tcPr>
            <w:tcW w:type="dxa" w:w="7767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Подтверждённая граница AFrame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Керамогранит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Геометрия существующего режима кляммеров. Скрытые, кайловые и другие варианты АТР не реализованы как полный комплект.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АКП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Поддержанная часть каркаса в режиме frame. Крепление кассеты не реализовано; режимы all/clamps отвергаются.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Клинкер и бетон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Направляющие и шины по рабочему ТЗ Германа. Марка и узел шины зависят от проекта; АТР Вектор-4 отсутствует.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NordFOX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Отдельная алюминиевая система MLK-v-300. Её каркас, опоры, клипсы и кассетные узлы в AFrame не поддерживаются.</w:t>
            </w:r>
          </w:p>
        </w:tc>
      </w:tr>
    </w:tbl>
    <w:p>
      <w:pPr>
        <w:spacing w:after="20"/>
      </w:pPr>
    </w:p>
    <w:p>
      <w:r>
        <w:t>Вектор-1, PDF 108 / лист 11.1 и PDF 109 / 11.2, различает видимые и скрытые кляммеры, кайлы и крепления керамических плит. Вектор-5, PDF 135 / 11.1, содержит восемь вариантов АКП. Варианты 1/2 привязаны к ШП/СП; надпись «любой профиль» в других вариантах не подтверждает все сочетания несущих узлов.</w:t>
      </w:r>
    </w:p>
    <w:p>
      <w:pPr>
        <w:pStyle w:val="Heading2"/>
      </w:pPr>
      <w:r>
        <w:t>Проёмы и пожарное усиление</w:t>
      </w:r>
    </w:p>
    <w:p>
      <w:r>
        <w:t>На PDF 103 / листе 10.5 Вектор-1 показаны дополнительные кляммеры и полоса над проёмом с условиями пожарного заключения. Размеры 650/300 и обозначения &gt;350 относятся к этому узлу. Программа не выбирает применимое пожарное решение и не формирует его полный комплект. Для КГ с проёмами результат теперь сопровождается явной заметкой об этом непокрытии.</w:t>
      </w:r>
    </w:p>
    <w:p>
      <w:r>
        <w:t>Дополнительная средняя направляющая не заменяет полосу с кляммерами. В отдельных проектных вариантах условия усиления различаются, поэтому глобальное правило 350 мм было бы необоснованным.</w:t>
      </w:r>
    </w:p>
    <w:p>
      <w:pPr>
        <w:pStyle w:val="Heading2"/>
      </w:pPr>
      <w:r>
        <w:t>Роли опор не описывают их подвижность</w:t>
      </w:r>
    </w:p>
    <w:p>
      <w:r>
        <w:t>Знаки «несущий» и «рядовой» в выдаче описывают геометрические роли. Они не подтверждают неподвижный или скользящий узел, отверстия, пазы и комплект метизов. Поле rails_fixed означает существующие направляющие для режима кляммеров, а не неподвижное закрепление.</w:t>
      </w:r>
    </w:p>
    <w:p>
      <w:r>
        <w:br w:type="page"/>
      </w:r>
    </w:p>
    <w:p>
      <w:pPr>
        <w:pStyle w:val="Heading1"/>
      </w:pPr>
      <w:r>
        <w:t>Исправления массы и расчётной схемы</w:t>
      </w:r>
    </w:p>
    <w:p>
      <w:pPr>
        <w:pStyle w:val="Heading2"/>
      </w:pPr>
      <w:r>
        <w:t>Собственный вес выбранного профиля</w:t>
      </w:r>
    </w:p>
    <w:p>
      <w:r>
        <w:t>На обычном входе формы для ШП сохранялось q_rails=0,745 кг/м от пресета ГП. Подобранное сечение ШП-60-20-20-1,2 имеет массу 1,21 кг/м в том же каталоге. Повтор фактического интервала с исправлением только массы изменил результат проверки анкера с положительного на отрицательный.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4649"/>
        <w:gridCol w:w="2665"/>
        <w:gridCol w:w="2665"/>
      </w:tblGrid>
      <w:tr>
        <w:trPr>
          <w:tblHeader/>
          <w:cantSplit/>
        </w:trPr>
        <w:tc>
          <w:tcPr>
            <w:tcW w:type="dxa" w:w="4649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Показатель одной пробы</w:t>
            </w:r>
          </w:p>
        </w:tc>
        <w:tc>
          <w:tcPr>
            <w:tcW w:type="dxa" w:w="2665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До исправления</w:t>
            </w:r>
          </w:p>
        </w:tc>
        <w:tc>
          <w:tcPr>
            <w:tcW w:type="dxa" w:w="2665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После исправления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Масса в расчёте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0,745 кг/м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1,21 кг/м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Шаг рядовой / угловой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300 / 200 мм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250 / 200 мм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Максимальный рядовой интервал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299,375 мм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239,5 мм</w:t>
            </w:r>
          </w:p>
        </w:tc>
      </w:tr>
    </w:tbl>
    <w:p>
      <w:pPr>
        <w:spacing w:after="20"/>
      </w:pPr>
    </w:p>
    <w:p>
      <w:r>
        <w:t>Исходные пробы: стена 6000×6000 мм, оси через 600 мм, КГ 25 кг/м², район II, местность B, высота 30 м, вынос 230 мм, анкер 565 Н. При исходном интервале 299,375 мм тот же расчёт с массой 1,21 дал усилие 58,1 кг при пределе 57,7 кг. Это сравнение одной реализованной формулы, а не утверждение о новом нормативном расчёте.</w:t>
      </w:r>
    </w:p>
    <w:p>
      <w:r>
        <w:t>Теперь масса определяется для текущего кандидата. Сохраняется большая явно заданная проектная нагрузка, учитываются известные горизонтальные элементы и более тяжёлый фактически выдаваемый профиль. Для ortho учтены ШП 1,22 и ГП 0,745 кг/м, суммарно 1,965 вместо 1,475. Это ещё не полный вес всех фасонных и крепёжных деталей.</w:t>
      </w:r>
    </w:p>
    <w:p>
      <w:pPr>
        <w:pStyle w:val="Heading2"/>
      </w:pPr>
      <w:r>
        <w:t>Одна геометрия должна иметь согласованную схему</w:t>
      </w:r>
    </w:p>
    <w:p>
      <w:r>
        <w:t>Расширенный запрос с system=Вектор-1 и sub_type=interfloor мог выдать НГП→НСП с расчётом vertical. Аналогичный обход был возможен через calc.scheme. Штатная форма передавала согласованные пары; дефект относился к протоколу API и пользовательским запросам.</w:t>
      </w:r>
    </w:p>
    <w:p>
      <w:r>
        <w:t>Теперь несовместимость пресета, кода геометрии и расчётной схемы вызывает E_CALC_SCHEME_MISMATCH до расстановки. Формулы стальной методики не заменялись. Успешный расчёт другой схемы больше не служит основанием для выдачи этой геометрии.</w:t>
      </w:r>
    </w:p>
    <w:p>
      <w:r>
        <w:br w:type="page"/>
      </w:r>
    </w:p>
    <w:p>
      <w:pPr>
        <w:pStyle w:val="Heading1"/>
      </w:pPr>
      <w:r>
        <w:t>Адресные отказы вместо неподтверждённого расчёта</w:t>
      </w:r>
    </w:p>
    <w:p>
      <w:pPr>
        <w:pStyle w:val="Heading2"/>
      </w:pPr>
      <w:r>
        <w:t>Свободные концы НСП</w:t>
      </w:r>
    </w:p>
    <w:p>
      <w:r>
        <w:t>Прежняя защита проверяла лишь наличие двух пересечений НСП с НГП. Стойка длиной 3000 мм с опорами на 1000 и 2000 мм проходила эту проверку, хотя за крайними опорами оставались два свободных конца по 1000 мм. Используемая расчётная цепочка не подтверждала такую консольную схему.</w:t>
      </w:r>
    </w:p>
    <w:p>
      <w:r>
        <w:t>Теперь E_CALC_TOPOLOGY_UNSUPPORTED выдаётся и при недостатке опор, и при неподтверждённом свободном конце. Малый допуск служит только сопоставлению опоры с концом через зазор стыка; он не является разрешённой инженерной консолью. Ручной режим остаётся доступен по отдельному проектному расчёту. Контрольная многопролётная стойка без свободных концов проверяется отдельно от отказов.</w:t>
      </w:r>
    </w:p>
    <w:p>
      <w:r>
        <w:t>Остаётся непроверенная граница: автоматический выбор многопролётных коэффициентов interfloor ещё не устанавливает фактическое число расчётных пролётов и непрерывность балки через стык. Положительный контроль подтверждает исполнение текущей цепочки, а не инженерную применимость коэффициентов к любой выданной стойке. Универсальный порог числа опор без нового обоснования не вводился.</w:t>
      </w:r>
    </w:p>
    <w:p>
      <w:pPr>
        <w:pStyle w:val="Heading2"/>
      </w:pPr>
      <w:r>
        <w:t>ГП-60-40 и неизвестное сечение</w:t>
      </w:r>
    </w:p>
    <w:p>
      <w:r>
        <w:t>ГП-60-40 ранее рассчитывался по ГП-40-40 с формулировкой «в запас». Для собственной массы такая подстановка не обоснована. Также API мог выдать произвольную марку при положительном расчёте другого профиля.</w:t>
      </w:r>
    </w:p>
    <w:p>
      <w:r>
        <w:t>Расчёт теперь требует подтверждённых Wx, Jx, A и массы q для разрешённого сечения. Неизвестная марка и неподходящие кандидаты дают E_PROFILE_SECTION_UNCONFIRMED. Форма объясняет ограничение ГП-60-40. Ручное построение и режим только кляммеров сохранены; они не объявляются проверкой несущей способности этого профиля.</w:t>
      </w:r>
    </w:p>
    <w:p>
      <w:pPr>
        <w:pStyle w:val="Heading2"/>
      </w:pPr>
      <w:r>
        <w:t>Неизвестная идентичность в API</w:t>
      </w:r>
    </w:p>
    <w:p>
      <w:r>
        <w:t>Строковое имя NordFOX уже отклонялось, но словарь с name=NordFOX мог принять пустой пресет. Неизвестный sub_type попадал в вертикальную ветку; дополнительная проверка могла объявить успех при нуле проверенных интервалов. Это дефекты входного контракта, а не реализованная поддержка NordFOX.</w:t>
      </w:r>
    </w:p>
    <w:p>
      <w:r>
        <w:t>Новый resolver ограничивает имена четырьмя существующими пресетами, схемы — vertical/ortho/interfloor, облицовки — четырьмя поддержанными кодами. Непустой пользовательский словарь без имени сохранён без назначения производителя. Пустой system сохраняет прежний выбор Standart. Результат получает сведения о происхождении и непокрытых узлах.</w:t>
      </w:r>
    </w:p>
    <w:p>
      <w:r>
        <w:br w:type="page"/>
      </w:r>
    </w:p>
    <w:p>
      <w:pPr>
        <w:pStyle w:val="Heading1"/>
      </w:pPr>
      <w:r>
        <w:t>Уточнения по первичным источникам</w:t>
      </w:r>
    </w:p>
    <w:p>
      <w:r>
        <w:t>Повторное чтение оригинальных листов сузило ряд прежних выводов. Число в одном узле или проекте сохраняется вместе с его назначением, редакцией и условиями применения.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2324"/>
        <w:gridCol w:w="7654"/>
      </w:tblGrid>
      <w:tr>
        <w:trPr>
          <w:tblHeader/>
          <w:cantSplit/>
        </w:trPr>
        <w:tc>
          <w:tcPr>
            <w:tcW w:type="dxa" w:w="2324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Источник</w:t>
            </w:r>
          </w:p>
        </w:tc>
        <w:tc>
          <w:tcPr>
            <w:tcW w:type="dxa" w:w="7654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Уточнённый вывод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Вектор 1</w:t>
              <w:br/>
              <w:t>53/55/62/64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Зазор 10 мм на усиленных узлах действительно указан. Прежнее общее утверждение об отсутствии числа было ошибочным.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Вектор 1</w:t>
              <w:br/>
              <w:t>62/64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Размер 200 мм идёт от торца нижнего НСП до верхней полки КПК. Это не расстояние между полками.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Вектор 5</w:t>
              <w:br/>
              <w:t>47–49 и 58–59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Размер 200 относится к показанным узлам типа 5 с ВСП; три заклёпки на соединении с НГП не являются правилом всех соединений.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NordFOX</w:t>
              <w:br/>
              <w:t>45–46 и 61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Показаны промежуточные вертикали в поле панели. Сетка опор не выводится универсально только из вертикальных швов.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NordFOX</w:t>
              <w:br/>
              <w:t>5–6 и 26–30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Типоразмеры и исполнения нельзя генерировать полной комбинацией размеров. Один тип M может иметь фиксированное или подвижное крепление.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Частные проекты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Шаги 1200/800, оси 608 и варианты дополнительных кляммеров связаны с конкретными исходными и изделиями.</w:t>
            </w:r>
          </w:p>
        </w:tc>
      </w:tr>
    </w:tbl>
    <w:p>
      <w:pPr>
        <w:spacing w:after="20"/>
      </w:pPr>
    </w:p>
    <w:p>
      <w:r>
        <w:t>Вектор-5 не сводится к замене крепления на полностью одинаковом каркасе. Совместимость профилей, вставок, салазок и иных деталей проверяется по конкретным узлам. Материал отдельных деталей может отличаться от материала каркаса.</w:t>
      </w:r>
    </w:p>
    <w:p>
      <w:r>
        <w:t>Для NordFOX размеры форматов со звёздочкой и типовые классы длин сопровождаются условиями расчёта. Отсутствие одной предельной цифры не разрешает любую высоту, сейсмичность или формат. Современная карточка производителя и альбом 2016 года — разные редакционные источники.</w:t>
      </w:r>
    </w:p>
    <w:p>
      <w:r>
        <w:t>Исторический пресет Standart содержит геометрические параметры отдельного проекта и позднейшее рабочее ТЗ. В штатной форме расчётная вертикальная схема явно передаёт Вектор-1 через SysOverride. Это уточнение исключает ошибочное описание пути как скрытого расчёта Standart по Вектору.</w:t>
      </w:r>
    </w:p>
    <w:p>
      <w:r>
        <w:br w:type="page"/>
      </w:r>
    </w:p>
    <w:p>
      <w:pPr>
        <w:pStyle w:val="Heading1"/>
      </w:pPr>
      <w:r>
        <w:t>Проверки и состояние публикации</w:t>
      </w:r>
    </w:p>
    <w:p>
      <w:r>
        <w:t>PASS: 22 группы проверок; исправленный положительный тест ортогональной схемы повторно пройден.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3005"/>
        <w:gridCol w:w="2324"/>
        <w:gridCol w:w="4649"/>
      </w:tblGrid>
      <w:tr>
        <w:trPr>
          <w:tblHeader/>
          <w:cantSplit/>
        </w:trPr>
        <w:tc>
          <w:tcPr>
            <w:tcW w:type="dxa" w:w="3005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Группа</w:t>
            </w:r>
          </w:p>
        </w:tc>
        <w:tc>
          <w:tcPr>
            <w:tcW w:type="dxa" w:w="2324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Результат</w:t>
            </w:r>
          </w:p>
        </w:tc>
        <w:tc>
          <w:tcPr>
            <w:tcW w:type="dxa" w:w="4649"/>
            <w:shd w:fill="E7E7E7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Компиляция Facades / AClad / AFrame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3/3 PASS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Roslyn 4.8; net48; официальные AutoCAD 24.0 references.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Масса, профили и согласованность схем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35/35 + 13/13 PASS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Настоящие FrameSettings и Python-движки; независимая арифметика веса.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Источники и входной контракт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22/22 PASS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Неизвестные значения, многозональность и повтор только кляммеров.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Свободные концы НСП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7/7 PASS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Три отказа, расчётный контроль, три ручных варианта.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АКП и границы креплений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37/37 PASS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Геометрия каркаса и отказы для отсутствующего крепления кассеты.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Учебные примеры руководства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5/5 совпали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Геометрия и количества повторены текущими движками; новые замечания учтены.</w:t>
            </w:r>
          </w:p>
        </w:tc>
      </w:tr>
    </w:tbl>
    <w:p>
      <w:pPr>
        <w:spacing w:after="20"/>
      </w:pPr>
    </w:p>
    <w:p>
      <w:r>
        <w:t>Результаты групп относятся к зафиксированным исходникам и сценариям. Успешный положительный контроль, ожидаемый адресный отказ и непроверенный сценарий различаются. Два одинаковых отказа не заменяют доказательства исправления расчёта.</w:t>
      </w:r>
    </w:p>
    <w:p>
      <w:r>
        <w:t>AutoCAD не запускался. Живая проверка в AutoCAD выполняется после завершения правок и ревизии, как согласовано с Денисом.</w:t>
      </w:r>
    </w:p>
    <w:p>
      <w:pPr>
        <w:pStyle w:val="Heading2"/>
      </w:pPr>
      <w:r>
        <w:t>GitHub</w:t>
      </w:r>
    </w:p>
    <w:p>
      <w:r>
        <w:t>Исходники сохранены локальными коммитами; новые коммиты не отправлены в GitHub. Права push/admin подтверждены. Сохранённый журнал фиксирует прежний отказ автоматической проверки среды, но точная мотивировка не сохранена. Повторного отказа в этой ревизии не проверяли; постоянная блокировка не установлена. Релиз не собирался и не публиковался.</w:t>
      </w:r>
    </w:p>
    <w:p>
      <w:r>
        <w:t>Права репозитория и разрешения среды исполнения — разные уровни. Настоящий отчёт не является командой на выпуск. Состояние новой публикации следует фиксировать по фактическому результату отдельной операции и состоянию CI.</w:t>
      </w:r>
    </w:p>
    <w:p>
      <w:r>
        <w:br w:type="page"/>
      </w:r>
    </w:p>
    <w:p>
      <w:pPr>
        <w:pStyle w:val="Heading1"/>
      </w:pPr>
      <w:r>
        <w:t>Следующая приёмка и необходимые данные</w:t>
      </w:r>
    </w:p>
    <w:p>
      <w:pPr>
        <w:pStyle w:val="Heading2"/>
      </w:pPr>
      <w:r>
        <w:t>Подтверждённые данные для расширения поддержки</w:t>
      </w:r>
    </w:p>
    <w:p>
      <w:r>
        <w:t>Нужны актуальная серия и редакция АТР, выбранный монтажный узел и допустимые сочетания деталей. Для ГП-60-40 и НСП-2 требуется однозначное сечение с Wx/Jx/A/q. Для АКП — вариант крепления кассеты; для клинкера и бетона — АТР Вектор-4, конкретные шины, их сечения и соединения. Для NordFOX нужна самостоятельная алюминиевая расчётная и геометрическая модель.</w:t>
      </w:r>
    </w:p>
    <w:p>
      <w:r>
        <w:t>Проект должен определять основания и результаты испытаний анкеров, неподвижные и скользящие узлы, температурные перемещения, деформационные швы, пожарное решение проёмов и полный состав метизов. Геометрический зазор, условная вставка и роль кронштейна этих сведений не заменяют.</w:t>
      </w:r>
    </w:p>
    <w:p>
      <w:pPr>
        <w:pStyle w:val="Heading2"/>
      </w:pPr>
      <w:r>
        <w:t>Проверка в AutoCAD после фиксации ревизии</w:t>
      </w:r>
    </w:p>
    <w:p>
      <w:pPr>
        <w:pStyle w:val="ListBullet"/>
      </w:pPr>
      <w:r>
        <w:t>Открыть отдельную копию контрольного DWG и проверить обычный успешный сценарий каждой из трёх схем с известным сечением. Сверить массу, выбранный профиль, рассчитанный и фактически выданный шаг.</w:t>
      </w:r>
    </w:p>
    <w:p>
      <w:pPr>
        <w:pStyle w:val="ListBullet"/>
      </w:pPr>
      <w:r>
        <w:t>Повторить адресные отказы для ГП-60-40 в расчёте, несогласованной схемы и свободного конца НСП. Убедиться, что отказ объяснён и прежняя геометрия сохранена.</w:t>
      </w:r>
    </w:p>
    <w:p>
      <w:pPr>
        <w:pStyle w:val="ListBullet"/>
      </w:pPr>
      <w:r>
        <w:t>Проверить ручные режимы и повтор только кляммеров, сохранение настроек и ограничение АКП режимом каркаса. Отдельно проверить предупреждение о непокрытом пожарном узле у КГ с проёмом.</w:t>
      </w:r>
    </w:p>
    <w:p>
      <w:pPr>
        <w:pStyle w:val="ListBullet"/>
      </w:pPr>
      <w:r>
        <w:t>Выполнить расчёт из свежей раскладки, затем её изменение, COPY, повтор команды и Undo. Проверить принадлежность меток, динамические блоки, слои и отсутствие чужих удалений.</w:t>
      </w:r>
    </w:p>
    <w:p>
      <w:pPr>
        <w:pStyle w:val="ListBullet"/>
      </w:pPr>
      <w:r>
        <w:t>Сопоставить ведомость с видимой геометрией и утверждённым проектным узлом. Сохранить версии DLL/движка, входной DWG и фактический протокол результата.</w:t>
      </w:r>
    </w:p>
    <w:p>
      <w:pPr>
        <w:pStyle w:val="Heading2"/>
      </w:pPr>
      <w:r>
        <w:t>Материалы для воспроизведения</w:t>
      </w:r>
    </w:p>
    <w:p>
      <w:r>
        <w:t>Предметные отчёты: docs/atr_review_3009/Vector1.md, Vector5.md, NordFOX.md, Project_vs_rules.md, Rule_sources.md и Architecture.md. Они содержат точные страницы/листы, исходные контрпримеры и границы выводов.</w:t>
      </w:r>
    </w:p>
    <w:p>
      <w:r>
        <w:t>Проверки: tools/atr_review_3009/run_checks.py и отдельные воспроизводители этого каталога. Канонический реестр: AFrame/engine/frame_rules.py; assembly_catalog.json — его генерируемый снимок. Числа итоговых прогонов и ревизия в этом документе задаются отдельным JSON фактов.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альбомов технических решений и AFrame</dc:title>
  <dc:subject>Ревизия АТР и исправлений исходников 30 сентября 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