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Учебный комплект: AFacades + AClad + AFrame. Основа инструкции — текущие команды и поля окон на 30 сентября 2026 года.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показывают реальные названия полей, но не имитируют экран AutoCAD. Данные примера искусственные и не содержат частных проектов.</w:t>
      </w:r>
    </w:p>
    <w:p>
      <w:r>
        <w:rPr>
          <w:b/>
        </w:rPr>
        <w:t>Редакция от 30 сентября 2026 года для исправленного кода. Установочный выпуск ещё не опубликован.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t xml:space="preserve">Руководство описывает исправленный код текущей сессии. Установочные архивы с этими изменениями ещё должны быть выпущены отдельной сборкой. </w:t>
      </w:r>
      <w:r>
        <w:rPr>
          <w:b/>
        </w:rPr>
        <w:t>Исходная сборка №30 и случайно скачанный latest не гарантируют описанное здесь новое поведение.</w:t>
      </w:r>
      <w:r>
        <w:t xml:space="preserve"> Номер будущей сборки в инструкции не назначается заранее.</w:t>
      </w:r>
    </w:p>
    <w:p>
      <w:r>
        <w:t xml:space="preserve">Для самостоятельного прохода получите согласованную тройку бандлов с исправлениями 30.09 и сопоставьте описание выпуска, файл </w:t>
      </w:r>
      <w:r>
        <w:rPr>
          <w:rFonts w:ascii="DejaVu Sans Mono" w:hAnsi="DejaVu Sans Mono"/>
          <w:sz w:val="19"/>
        </w:rPr>
        <w:t>build-info</w:t>
      </w:r>
      <w:r>
        <w:t xml:space="preserve"> при его наличии и строки загрузки DLL. В описании должны быть отражены безопасная перегенерация/отмена, актуальность геометрии, защита шин без опор, команда ATFZONERESET и ограничения расчётной схемы из главы 13. Пока сборки нет, изучайте материал и учебные исходники, но не считайте старый комплект прошедшим этот сценарий. Идентификатор проверенного кода приведён в листе версии инструкции.</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0"/>
        <w:gridCol w:w="1493"/>
        <w:gridCol w:w="3173"/>
        <w:gridCol w:w="4194"/>
      </w:tblGrid>
      <w:tr>
        <w:trPr>
          <w:cantSplit/>
          <w:tblHeader/>
        </w:trPr>
        <w:tc>
          <w:tcPr>
            <w:tcW w:type="dxa" w:w="122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93"/>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73"/>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194"/>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2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93"/>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73"/>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194"/>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2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93"/>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73"/>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194"/>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2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93"/>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73"/>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194"/>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2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93"/>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73"/>
            <w:vAlign w:val="center"/>
            <w:tcMar>
              <w:top w:w="85" w:type="dxa"/>
              <w:bottom w:w="85" w:type="dxa"/>
              <w:left w:w="100" w:type="dxa"/>
              <w:right w:w="100" w:type="dxa"/>
            </w:tcMar>
            <w:shd w:fill="F1F5F7"/>
          </w:tcPr>
          <w:p>
            <w:pPr>
              <w:spacing w:after="0" w:before="0" w:line="259" w:lineRule="auto"/>
            </w:pPr>
            <w:r>
              <w:rPr>
                <w:color w:val="000000"/>
                <w:sz w:val="20"/>
              </w:rPr>
              <w:t>Зоны по слою или выбранные штриховки/марки</w:t>
            </w:r>
          </w:p>
        </w:tc>
        <w:tc>
          <w:tcPr>
            <w:tcW w:type="dxa" w:w="4194"/>
            <w:vAlign w:val="center"/>
            <w:tcMar>
              <w:top w:w="85" w:type="dxa"/>
              <w:bottom w:w="85" w:type="dxa"/>
              <w:left w:w="100" w:type="dxa"/>
              <w:right w:w="100" w:type="dxa"/>
            </w:tcMar>
            <w:shd w:fill="F1F5F7"/>
          </w:tcPr>
          <w:p>
            <w:pPr>
              <w:spacing w:after="0" w:before="0" w:line="259" w:lineRule="auto"/>
            </w:pPr>
            <w:r>
              <w:rPr>
                <w:color w:val="000000"/>
                <w:sz w:val="20"/>
              </w:rPr>
              <w:t>Ведомость зон либо ведомость работ в чертеже и/или XLSX</w:t>
            </w:r>
          </w:p>
        </w:tc>
      </w:tr>
    </w:tbl>
    <w:p>
      <w:pPr>
        <w:spacing w:after="40"/>
      </w:pPr>
    </w:p>
    <w:p>
      <w:r>
        <w:t xml:space="preserve">Рабочая последовательность: </w:t>
      </w:r>
      <w:r>
        <w:rPr>
          <w:b/>
        </w:rPr>
        <w:t>контуры → ATFZONE → ATTILE → ATFRAME → ATFTABLE → проверка → сохранение</w:t>
      </w:r>
      <w:r>
        <w:t>.</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ведомость геометрии зон и видов работ. Она не заменяет поштучную закупочную спецификацию всех плиток, кронштейнов и профилей. Счётчики раскладки и подсистемы смотрят отдельно в итогах соответствующих команд.</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1"/>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3"/>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5"/>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полей ATFRAME"/>
            <wp:cNvGraphicFramePr>
              <a:graphicFrameLocks noChangeAspect="1"/>
            </wp:cNvGraphicFramePr>
            <a:graphic>
              <a:graphicData uri="http://schemas.openxmlformats.org/drawingml/2006/picture">
                <pic:pic>
                  <pic:nvPicPr>
                    <pic:cNvPr id="0" name="10_atframe_fieldmap.png"/>
                    <pic:cNvPicPr/>
                  </pic:nvPicPr>
                  <pic:blipFill>
                    <a:blip r:embed="rId16"/>
                    <a:stretch>
                      <a:fillRect/>
                    </a:stretch>
                  </pic:blipFill>
                  <pic:spPr>
                    <a:xfrm>
                      <a:off x="0" y="0"/>
                      <a:ext cx="5464884" cy="5806439"/>
                    </a:xfrm>
                    <a:prstGeom prst="rect"/>
                  </pic:spPr>
                </pic:pic>
              </a:graphicData>
            </a:graphic>
          </wp:inline>
        </w:drawing>
      </w:r>
    </w:p>
    <w:p>
      <w:pPr>
        <w:pStyle w:val="Caption"/>
        <w:jc w:val="center"/>
      </w:pPr>
      <w:r>
        <w:t>Рисунок 6. Схема полей ATFRAME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7"/>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8"/>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0" w:name="chapter_9"/>
      <w:pPr>
        <w:pStyle w:val="Heading1"/>
      </w:pPr>
      <w:r>
        <w:t>8 Шаг 4 построить ведомость ATFTABLE</w:t>
      </w:r>
      <w:bookmarkEnd w:id="260"/>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bookmarkStart w:id="286" w:name="chapter_10"/>
      <w:pPr>
        <w:pStyle w:val="Heading1"/>
      </w:pPr>
      <w:r>
        <w:t>9 Как проверять весь фасад не запутавшись в слоях</w:t>
      </w:r>
      <w:bookmarkEnd w:id="286"/>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19"/>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303" w:name="chapter_11"/>
      <w:pPr>
        <w:pStyle w:val="Heading1"/>
      </w:pPr>
      <w:r>
        <w:t>10 Изменения повторный запуск и отмена</w:t>
      </w:r>
      <w:bookmarkEnd w:id="303"/>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352" w:name="chapter_12"/>
      <w:pPr>
        <w:pStyle w:val="Heading1"/>
      </w:pPr>
      <w:r>
        <w:t>11 Второе упражнение фронтон со скатами</w:t>
      </w:r>
      <w:bookmarkEnd w:id="352"/>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0"/>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368" w:name="chapter_13"/>
      <w:pPr>
        <w:pStyle w:val="Heading1"/>
      </w:pPr>
      <w:r>
        <w:t>12 ATTILE справочник режимов после первого урока</w:t>
      </w:r>
      <w:bookmarkEnd w:id="368"/>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404" w:name="chapter_14"/>
      <w:pPr>
        <w:pStyle w:val="Heading1"/>
      </w:pPr>
      <w:r>
        <w:t>13 ATFRAME какие режимы выбирать</w:t>
      </w:r>
      <w:bookmarkEnd w:id="404"/>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В режиме «по расчёту несущей способности» вводятся ветровой район, тип местности, высота здания в метрах, масса облицовки в кг/м², вынос в миллиметрах и несущая способность анкера на вырыв в ньютонах. Это не поля для подбора «похожего» числа. Возьмите данные из задания/расчёта проекта и проверьте сформированный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454" w:name="chapter_15"/>
      <w:pPr>
        <w:pStyle w:val="Heading1"/>
      </w:pPr>
      <w:r>
        <w:t>14 Размеры и поиск дублей</w:t>
      </w:r>
      <w:bookmarkEnd w:id="454"/>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462" w:name="chapter_16"/>
      <w:pPr>
        <w:pStyle w:val="Heading1"/>
      </w:pPr>
      <w:r>
        <w:t>15 Зачем осталась команда ATCLAD</w:t>
      </w:r>
      <w:bookmarkEnd w:id="462"/>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470" w:name="chapter_17"/>
      <w:pPr>
        <w:pStyle w:val="Heading1"/>
      </w:pPr>
      <w:r>
        <w:t>16 Частые ошибки что делать по сообщению</w:t>
      </w:r>
      <w:bookmarkEnd w:id="470"/>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00"/>
        <w:gridCol w:w="3690"/>
        <w:gridCol w:w="3690"/>
      </w:tblGrid>
      <w:tr>
        <w:trPr>
          <w:cantSplit/>
          <w:tblHeader/>
        </w:trPr>
        <w:tc>
          <w:tcPr>
            <w:tcW w:type="dxa" w:w="2700"/>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Расчёт отклонён из-за опор или пролётов</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Отдельный кусок не соответствует принятой модели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499" w:name="chapter_18"/>
      <w:pPr>
        <w:pStyle w:val="Heading1"/>
      </w:pPr>
      <w:r>
        <w:t>17 Сохранение и передача результата</w:t>
      </w:r>
      <w:bookmarkEnd w:id="499"/>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509" w:name="chapter_19"/>
      <w:pPr>
        <w:pStyle w:val="Heading1"/>
      </w:pPr>
      <w:r>
        <w:t>18 Как сообщить о проблеме чтобы её можно было исправить</w:t>
      </w:r>
      <w:bookmarkEnd w:id="509"/>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515" w:name="chapter_20"/>
      <w:pPr>
        <w:pStyle w:val="Heading1"/>
      </w:pPr>
      <w:r>
        <w:t>19 Словарь начинающего пользователя</w:t>
      </w:r>
      <w:bookmarkEnd w:id="5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546" w:name="chapter_21"/>
      <w:pPr>
        <w:pStyle w:val="Heading1"/>
      </w:pPr>
      <w:r>
        <w:t>20 Финальная самопроверка первого урока</w:t>
      </w:r>
      <w:bookmarkEnd w:id="546"/>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понятно, что учебная геометрия и успешный ограниченный расчёт не подтверждают статическую модель всего каркаса;</w:t>
      </w:r>
    </w:p>
    <w:p>
      <w:pPr>
        <w:ind w:left="317" w:hanging="317"/>
      </w:pPr>
      <w:r>
        <w:t>• ведомость получена в DWG и XLSX, площади и погонажи совпали;</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cp:keywords>
  <dc:description>generated by python-docx</dc:description>
  <cp:lastModifiedBy/>
  <cp:revision>1</cp:revision>
  <dcterms:created xsi:type="dcterms:W3CDTF">2013-12-23T23:15:00Z</dcterms:created>
  <dcterms:modified xsi:type="dcterms:W3CDTF">2013-12-23T23:15:00Z</dcterms:modified>
  <cp:category/>
</cp:coreProperties>
</file>