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w:t>
      </w:r>
      <w:r>
        <w:rPr>
          <w:b/>
        </w:rPr>
        <w:t>build-113 — AFacades + AClad + AFrame</w:t>
      </w:r>
      <w:r>
        <w:t xml:space="preserve">. Скачайте три фасадных модуля со </w:t>
      </w:r>
      <w:hyperlink r:id="rId11">
        <w:r>
          <w:rPr>
            <w:color w:val="245D83"/>
          </w:rPr>
          <w:t>страницы выпуска 113 на GitHub</w:t>
        </w:r>
      </w:hyperlink>
      <w:r>
        <w:t xml:space="preserve"> и замените все три папки целиком по отдельной инструкции установки. Руководство описывает команды и поля окон этого выпуска. Целевая среда комплекта: полный AutoCAD для Windows, 64-разрядный, версии 2021–2024; при испытании запишите точную версию AutoCAD. Основной нативный маршрут рассчитан на AutoCAD 2024; пример Германа на снимке выполнен в 2023, и его совместимость требует отдельного прохода.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от 15 октября 2026 года для выпуска build-112. Перед проверкой заново установите AFacades, AClad и AFrame из этого выпуска. Результаты проверки в AutoCAD фиксируйте отдельно для каждого сценария.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Выпуск build-113 от 28 октября 2026 года</w:t>
      </w:r>
      <w:r>
        <w:t xml:space="preserve"> исправляет отказ ATFZONE «поддерживается только плоскость XY с Z = 0» на контурах, которые лежат выше или ниже Z = 0 (свойство «Уровень» не 0) либо развёрнуты нормалью вниз — например, после расчленения зеркального блока. Обычная штриховка AutoCAD такие контуры принимает, поэтому ошибка была непонятной. Теперь ATFZONE перечисляет такие контуры и спрашивает «Перенести эти контуры на Z = 0 и продолжить?»; ответ по умолчанию — «Да». Контур переносится вместе с созданием зоны: вид в плане не меняется, одна отмена U возвращает всё. Вертикальные и наклонные контуры (начерченные в повёрнутой ПСК) пропускаются с причиной. Остальное поведение совпадает с №112. Проверка — сценарий 24 раздела 2.3.</w:t>
      </w:r>
    </w:p>
    <w:p>
      <w:r>
        <w:t>Выпуск build-112 от 15 октября 2026 года добавил согласованную схему внешних углов. При выносе облицовки L вертикальная система получает ряд на границе и второй на L+100 мм внутрь. Швеллер имеет высоту 100 мм, длину L+200 мм, свесы по 50 мм за обе оси и середину на отметке кронштейнов. Реальные монтажные смещения не моделируются. В ортогональной и межэтажной системах первый ряд находится на L+100 мм внутрь, швеллера нет. Подробный пример и ограничения — ниже, в разделе «Углы и перекрытия».</w:t>
      </w:r>
    </w:p>
    <w:p>
      <w:r>
        <w:t xml:space="preserve">Меню теперь повторяет инициализацию после готовности AutoCAD. При отказе установки динамического размера ATTILE сохраняет исходное исключение и имя свойства. Это исправление диагностики: </w:t>
      </w:r>
      <w:r>
        <w:rPr>
          <w:b/>
        </w:rPr>
        <w:t>живой отказ типового блока ATTILE ещё не закрыт</w:t>
      </w:r>
      <w:r>
        <w:t xml:space="preserve">. Точная причина предупреждения ACAD:Фасады также требует проверки на рабочем месте. Для кода выполнены Windows check №244 (47/47), полный локальный набор из 75 групп, компиляция трёх DLL и независимые 148 проверок пути параметров к движку. </w:t>
      </w:r>
      <w:r>
        <w:rPr>
          <w:b/>
        </w:rPr>
        <w:t>Полный пользовательский проход в AutoCAD не выполнен.</w:t>
      </w:r>
      <w:r>
        <w:t xml:space="preserve"> Программные результаты его не заменяют.</w:t>
      </w:r>
    </w:p>
    <w:p>
      <w:r>
        <w:t xml:space="preserve">Сохранены исправления №111: близкие дробные размеры не смешиваются в кеше прототипов; преобразование типа свойства не округляет 35,85 до 36; геометрия с отклонением 0,15 мм не принимается при точных свойствах. Автор узла </w:t>
      </w:r>
      <w:r>
        <w:rPr>
          <w:b/>
        </w:rPr>
        <w:t>2026-10-08.2</w:t>
      </w:r>
      <w:r>
        <w:t xml:space="preserve"> остаётся отдельным закрытым тестовым ZIP. В разделе 2.3 приведены 24 контрольных сценария.</w:t>
      </w:r>
    </w:p>
    <w:p>
      <w:r>
        <w:t>Сохранены прежние исправления зон и штриховок, кассеты, схемы слоёв, меню, торцов у окон, хлыстов с доборами, стоек верхних окон, лишних стоек и пропавших ортогональных кронштейнов при дробных координатах. Команды библиотеки динамических узлов описаны в главе 13. Установите все три фасадных модуля build-113, даже если раньше обновляли только AClad.</w:t>
      </w:r>
    </w:p>
    <w:p>
      <w:r>
        <w:t>Исправления коротких участков из выпуска 107 сохранены. В ручном режиме на участке длиной до 600 мм включительно при старте 300 мм ставится один кронштейн по центру. В режиме «по расчёту» геометрия также строится, а непроверенные и перегруженные куски выделяются красным. Причины доступны в F2 и ведомости подсистемы, включая Excel. Построение с замечаниями не означает, что расчёт прошёл. Принятие старых зон, проверка версий и кнопки ленты сохранены.</w:t>
      </w:r>
    </w:p>
    <w:p>
      <w:r>
        <w:t>Руководство охватывает зоны, раскладку, подсистему, ведомости, справочную схему слоёв и первый пилот библиотеки динамических узлов. Библиотечный DWG ещё должен пройти создание и проверку в полном AutoCAD 2024. Наличие команд в №113 и успешные программные тесты не подтверждают живую приёмку. Учебные параметры не являются проектным решением. Межэтажная система в режиме «по расчёту», полный монтажный узел с крепежом и автоматический подбор монтажного варианта пока не готовы.</w:t>
      </w:r>
    </w:p>
    <w:p>
      <w:bookmarkStart w:id="25" w:name="chapter_2"/>
      <w:pPr>
        <w:pStyle w:val="Heading1"/>
      </w:pPr>
      <w:r>
        <w:t>1 Что установлено и какой результат даёт каждый модуль</w:t>
      </w:r>
      <w:bookmarkEnd w:id="2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40" w:name="chapter_3"/>
      <w:pPr>
        <w:pStyle w:val="Heading1"/>
      </w:pPr>
      <w:r>
        <w:t>2 Установка трёх модулей</w:t>
      </w:r>
      <w:bookmarkEnd w:id="4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сообщения загрузки AFacades, AClad и AFrame. Запишите номер скачанного выпуска и сохраните эти строки. Значение </w:t>
      </w:r>
      <w:r>
        <w:rPr>
          <w:rFonts w:ascii="DejaVu Sans Mono" w:hAnsi="DejaVu Sans Mono"/>
          <w:sz w:val="19"/>
        </w:rPr>
        <w:t>0.1.0</w:t>
      </w:r>
      <w:r>
        <w:t xml:space="preserve"> в свойствах пакета само по себе не различает выпуски.</w:t>
      </w:r>
    </w:p>
    <w:p>
      <w:r>
        <w:t>После загрузки программа сопоставляет версии трёх фасадных модулей. При несовпадении или отсутствии сведений появится одно предупреждение со списком проблемных модулей. Закройте AutoCAD, проверьте, откуда загружены DLL, уберите прежние копии и замените все три папки одним комплектом. Повторение ATFZONE при смешанных версиях проблему установки не исправляет.</w:t>
      </w:r>
    </w:p>
    <w:p>
      <w:r>
        <w:rPr>
          <w:b/>
        </w:rPr>
        <w:t>Проверка выпуска 113.</w:t>
      </w:r>
      <w:r>
        <w:t xml:space="preserve"> В трёх </w:t>
      </w:r>
      <w:r>
        <w:rPr>
          <w:rFonts w:ascii="DejaVu Sans Mono" w:hAnsi="DejaVu Sans Mono"/>
          <w:sz w:val="19"/>
        </w:rPr>
        <w:t>Contents\net48\build-info.json</w:t>
      </w:r>
      <w:r>
        <w:t xml:space="preserve"> значения </w:t>
      </w:r>
      <w:r>
        <w:rPr>
          <w:rFonts w:ascii="DejaVu Sans Mono" w:hAnsi="DejaVu Sans Mono"/>
          <w:sz w:val="19"/>
        </w:rPr>
        <w:t>build</w:t>
      </w:r>
      <w:r>
        <w:t xml:space="preserve"> должны равняться </w:t>
      </w:r>
      <w:r>
        <w:rPr>
          <w:rFonts w:ascii="DejaVu Sans Mono" w:hAnsi="DejaVu Sans Mono"/>
          <w:sz w:val="19"/>
        </w:rPr>
        <w:t>113</w:t>
      </w:r>
      <w:r>
        <w:t xml:space="preserve">, а </w:t>
      </w:r>
      <w:r>
        <w:rPr>
          <w:rFonts w:ascii="DejaVu Sans Mono" w:hAnsi="DejaVu Sans Mono"/>
          <w:sz w:val="19"/>
        </w:rPr>
        <w:t>sha</w:t>
      </w:r>
      <w:r>
        <w:t xml:space="preserve"> совпадать с исходным коммитом из описания выпуска. Повторите исходные ATFZONE и ATTILE на копии прежнего DWG с его JSON. Старую зону без снимка сначала примите через ATFZONEACCEPT по разделу 10.3. Затем проверьте торцы у окон, хлысты и верхние оконные стойки по разделам 7.4–7.7. Не округляйте контуры и не переделывайте образец ради обхода ошибки. Сохраните результат, полностью перезапустите AutoCAD и повторите.</w:t>
      </w:r>
    </w:p>
    <w:p>
      <w:r>
        <w:t xml:space="preserve">Прежние отказы </w:t>
      </w:r>
      <w:r>
        <w:rPr>
          <w:b/>
        </w:rPr>
        <w:t>245×35,85</w:t>
      </w:r>
      <w:r>
        <w:t xml:space="preserve"> и </w:t>
      </w:r>
      <w:r>
        <w:rPr>
          <w:b/>
        </w:rPr>
        <w:t>821,87×600 мм</w:t>
      </w:r>
      <w:r>
        <w:t xml:space="preserve"> и предупреждение </w:t>
      </w:r>
      <w:r>
        <w:rPr>
          <w:rFonts w:ascii="DejaVu Sans Mono" w:hAnsi="DejaVu Sans Mono"/>
          <w:sz w:val="19"/>
        </w:rPr>
        <w:t>ACAD:Фасады</w:t>
      </w:r>
      <w:r>
        <w:t xml:space="preserve"> ещё требуют живого повтора. Для облицовки ожидается завершённое построение правильного размера. Отказ с сохранением старых объектов фиксируйте как непройденный обычный сценарий. Если предупреждение меню осталось, сохраните F2 и снимок CUI → текущее рабочее пространство → Меню → ссылка «Фасады»; профиль и чужие меню не удаляйте.</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У AClad основная кнопка «Раскладка» вызывает ATTILE. На ленте и в классическом меню доступны команды из таблицы ниже. Если рабочее пространство скрывает панель, ту же команду можно ввести вручную.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376"/>
        <w:gridCol w:w="5400"/>
      </w:tblGrid>
      <w:tr>
        <w:trPr>
          <w:cantSplit/>
          <w:tblHeader/>
        </w:trPr>
        <w:tc>
          <w:tcPr>
            <w:tcW w:type="dxa" w:w="2304"/>
            <w:vAlign w:val="center"/>
            <w:tcMar>
              <w:top w:w="85" w:type="dxa"/>
              <w:bottom w:w="85" w:type="dxa"/>
              <w:left w:w="100" w:type="dxa"/>
              <w:right w:w="100" w:type="dxa"/>
            </w:tcMar>
            <w:shd w:fill="23485F"/>
          </w:tcPr>
          <w:p>
            <w:pPr>
              <w:spacing w:after="0" w:before="0" w:line="259" w:lineRule="auto"/>
            </w:pPr>
            <w:r>
              <w:rPr>
                <w:b/>
                <w:color w:val="FFFFFF"/>
                <w:sz w:val="20"/>
              </w:rPr>
              <w:t>Кнопка</w:t>
            </w:r>
          </w:p>
        </w:tc>
        <w:tc>
          <w:tcPr>
            <w:tcW w:type="dxa" w:w="2376"/>
            <w:vAlign w:val="center"/>
            <w:tcMar>
              <w:top w:w="85" w:type="dxa"/>
              <w:bottom w:w="85" w:type="dxa"/>
              <w:left w:w="100" w:type="dxa"/>
              <w:right w:w="100" w:type="dxa"/>
            </w:tcMar>
            <w:shd w:fill="23485F"/>
          </w:tcPr>
          <w:p>
            <w:pPr>
              <w:spacing w:after="0" w:before="0" w:line="259" w:lineRule="auto"/>
            </w:pPr>
            <w:r>
              <w:rPr>
                <w:b/>
                <w:color w:val="FFFFFF"/>
                <w:sz w:val="20"/>
              </w:rPr>
              <w:t>Команда</w:t>
            </w:r>
          </w:p>
        </w:tc>
        <w:tc>
          <w:tcPr>
            <w:tcW w:type="dxa" w:w="5400"/>
            <w:vAlign w:val="center"/>
            <w:tcMar>
              <w:top w:w="85" w:type="dxa"/>
              <w:bottom w:w="85" w:type="dxa"/>
              <w:left w:w="100" w:type="dxa"/>
              <w:right w:w="100" w:type="dxa"/>
            </w:tcMar>
            <w:shd w:fill="23485F"/>
          </w:tcPr>
          <w:p>
            <w:pPr>
              <w:spacing w:after="0" w:before="0" w:line="259" w:lineRule="auto"/>
            </w:pPr>
            <w:r>
              <w:rPr>
                <w:b/>
                <w:color w:val="FFFFFF"/>
                <w:sz w:val="20"/>
              </w:rPr>
              <w:t>Для чего нужна</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Параметры проекта</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ATFPROJECT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Общие параметры выбранного фасадного решения в DWG</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Параметры зоны</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ATFZONEPARAMS</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Наследование, свои значения и снятие привязки зоны</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Схема слоёв</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ATFNODE</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Справочная размерная схема и её проверка</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Узел из библиотеки</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ATFNODEIMPORT</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Импорт совместимого нативного динамического узла из подготовленного DWG</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Изменить узлы</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ATFNODEEDIT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Параметры, затем выбор только изменяемых вставок</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Через командную строку</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ATFNODEDEMO</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Пять самостоятельных копий выбранной вставки</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Через командную строку</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ATFNODETEST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Нативная проверка трёх из пяти с откатом собственных изменений</w:t>
            </w:r>
          </w:p>
        </w:tc>
      </w:tr>
      <w:tr>
        <w:trPr>
          <w:cantSplit/>
        </w:trPr>
        <w:tc>
          <w:tcPr>
            <w:tcW w:type="dxa" w:w="2304"/>
            <w:vAlign w:val="center"/>
            <w:tcMar>
              <w:top w:w="85" w:type="dxa"/>
              <w:bottom w:w="85" w:type="dxa"/>
              <w:left w:w="100" w:type="dxa"/>
              <w:right w:w="100" w:type="dxa"/>
            </w:tcMar>
            <w:shd w:fill="F1F5F7"/>
          </w:tcPr>
          <w:p>
            <w:pPr>
              <w:spacing w:after="0" w:before="0" w:line="259" w:lineRule="auto"/>
            </w:pPr>
            <w:r>
              <w:rPr>
                <w:color w:val="000000"/>
                <w:sz w:val="20"/>
              </w:rPr>
              <w:t>Принять старую зону</w:t>
            </w:r>
          </w:p>
        </w:tc>
        <w:tc>
          <w:tcPr>
            <w:tcW w:type="dxa" w:w="2376"/>
            <w:vAlign w:val="center"/>
            <w:tcMar>
              <w:top w:w="85" w:type="dxa"/>
              <w:bottom w:w="85" w:type="dxa"/>
              <w:left w:w="100" w:type="dxa"/>
              <w:right w:w="100" w:type="dxa"/>
            </w:tcMar>
            <w:shd w:fill="F1F5F7"/>
          </w:tcPr>
          <w:p>
            <w:pPr>
              <w:spacing w:after="0" w:before="0" w:line="259" w:lineRule="auto"/>
            </w:pPr>
            <w:r>
              <w:rPr>
                <w:color w:val="000000"/>
                <w:sz w:val="20"/>
              </w:rPr>
              <w:t>ATFZONEACCEPT</w:t>
            </w:r>
          </w:p>
        </w:tc>
        <w:tc>
          <w:tcPr>
            <w:tcW w:type="dxa" w:w="5400"/>
            <w:vAlign w:val="center"/>
            <w:tcMar>
              <w:top w:w="85" w:type="dxa"/>
              <w:bottom w:w="85" w:type="dxa"/>
              <w:left w:w="100" w:type="dxa"/>
              <w:right w:w="100" w:type="dxa"/>
            </w:tcMar>
            <w:shd w:fill="F1F5F7"/>
          </w:tcPr>
          <w:p>
            <w:pPr>
              <w:spacing w:after="0" w:before="0" w:line="259" w:lineRule="auto"/>
            </w:pPr>
            <w:r>
              <w:rPr>
                <w:color w:val="000000"/>
                <w:sz w:val="20"/>
              </w:rPr>
              <w:t>Принятие существующих контуров старой зоны</w:t>
            </w:r>
          </w:p>
        </w:tc>
      </w:tr>
      <w:tr>
        <w:trPr>
          <w:cantSplit/>
        </w:trPr>
        <w:tc>
          <w:tcPr>
            <w:tcW w:type="dxa" w:w="2304"/>
            <w:vAlign w:val="center"/>
            <w:tcMar>
              <w:top w:w="85" w:type="dxa"/>
              <w:bottom w:w="85" w:type="dxa"/>
              <w:left w:w="100" w:type="dxa"/>
              <w:right w:w="100" w:type="dxa"/>
            </w:tcMar>
            <w:shd w:fill="FFFFFF"/>
          </w:tcPr>
          <w:p>
            <w:pPr>
              <w:spacing w:after="0" w:before="0" w:line="259" w:lineRule="auto"/>
            </w:pPr>
            <w:r>
              <w:rPr>
                <w:color w:val="000000"/>
                <w:sz w:val="20"/>
              </w:rPr>
              <w:t>Связи контуров</w:t>
            </w:r>
          </w:p>
        </w:tc>
        <w:tc>
          <w:tcPr>
            <w:tcW w:type="dxa" w:w="2376"/>
            <w:vAlign w:val="center"/>
            <w:tcMar>
              <w:top w:w="85" w:type="dxa"/>
              <w:bottom w:w="85" w:type="dxa"/>
              <w:left w:w="100" w:type="dxa"/>
              <w:right w:w="100" w:type="dxa"/>
            </w:tcMar>
            <w:shd w:fill="FFFFFF"/>
          </w:tcPr>
          <w:p>
            <w:pPr>
              <w:spacing w:after="0" w:before="0" w:line="259" w:lineRule="auto"/>
            </w:pPr>
            <w:r>
              <w:rPr>
                <w:color w:val="000000"/>
                <w:sz w:val="20"/>
              </w:rPr>
              <w:t>ATFZONERESET</w:t>
            </w:r>
          </w:p>
        </w:tc>
        <w:tc>
          <w:tcPr>
            <w:tcW w:type="dxa" w:w="5400"/>
            <w:vAlign w:val="center"/>
            <w:tcMar>
              <w:top w:w="85" w:type="dxa"/>
              <w:bottom w:w="85" w:type="dxa"/>
              <w:left w:w="100" w:type="dxa"/>
              <w:right w:w="100" w:type="dxa"/>
            </w:tcMar>
            <w:shd w:fill="FFFFFF"/>
          </w:tcPr>
          <w:p>
            <w:pPr>
              <w:spacing w:after="0" w:before="0" w:line="259" w:lineRule="auto"/>
            </w:pPr>
            <w:r>
              <w:rPr>
                <w:color w:val="000000"/>
                <w:sz w:val="20"/>
              </w:rPr>
              <w:t>Исправление старых связей линий откосов и парапета</w:t>
            </w:r>
          </w:p>
        </w:tc>
      </w:tr>
    </w:tbl>
    <w:p>
      <w:pPr>
        <w:spacing w:after="40"/>
      </w:pP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pPr>
        <w:pStyle w:val="Heading2"/>
      </w:pPr>
      <w:r>
        <w:t>2 3 Что повторить после исправлений 5 28 октября</w:t>
      </w:r>
    </w:p>
    <w:p>
      <w:r>
        <w:t xml:space="preserve">Первые три исправления уже входили в №108; пункты 4–12 включены в №110, проверки 14–17 относятся к исправлениям 8–9 октября. Они сохранены в №113. Угловые сценарии и повторная диагностика №112 — пункты 18–23, исправление №113 — пункт 24. Авторский LISP </w:t>
      </w:r>
      <w:r>
        <w:rPr>
          <w:b/>
        </w:rPr>
        <w:t>2026-10-08.2</w:t>
      </w:r>
      <w:r>
        <w:t xml:space="preserve"> из пунктов 13 и 16 передаётся отдельным закрытым тестовым ZIP; он не входит в три установочных бандла. Для каждого пункта запишите «пройден», «не пройден» или «не выполнен», номер сборки, входной DWG и фактический результат. Успешная компиляция не подтверждает живой проход в AutoCAD. Старый результат на экране после ошибки не считается новым успешным построением.</w:t>
      </w:r>
    </w:p>
    <w:p>
      <w:pPr>
        <w:ind w:left="317" w:hanging="317"/>
      </w:pPr>
      <w:r>
        <w:t xml:space="preserve">1. </w:t>
      </w:r>
      <w:r>
        <w:rPr>
          <w:b/>
        </w:rPr>
        <w:t>ATFZONE — ложная порча снимка.</w:t>
      </w:r>
      <w:r>
        <w:t xml:space="preserve"> Создайте зону на прежних дробных координатах, сохраните DWG/JSON, перезапустите AutoCAD и повторите. Неизменённые данные должны читаться; настоящее смещение границы в контрольной копии должно требовать обновления.</w:t>
      </w:r>
    </w:p>
    <w:p>
      <w:pPr>
        <w:ind w:left="317" w:hanging="317"/>
      </w:pPr>
      <w:r>
        <w:t xml:space="preserve">2. </w:t>
      </w:r>
      <w:r>
        <w:rPr>
          <w:b/>
        </w:rPr>
        <w:t>ATTILE — прямоугольная штриховка из отрезков.</w:t>
      </w:r>
      <w:r>
        <w:t xml:space="preserve"> Повторите прежний образец и параметры, затем сохранение/перезапуск. Прямоугольная HATCH не должна отклоняться только из-за способа хранения границы; поддержку произвольной кривой это не обещает.</w:t>
      </w:r>
    </w:p>
    <w:p>
      <w:pPr>
        <w:ind w:left="317" w:hanging="317"/>
      </w:pPr>
      <w:r>
        <w:t xml:space="preserve">3. </w:t>
      </w:r>
      <w:r>
        <w:rPr>
          <w:b/>
        </w:rPr>
        <w:t>Инициализация ленты и меню.</w:t>
      </w:r>
      <w:r>
        <w:t xml:space="preserve"> После штатного перезапуска проверьте кнопку и ручной ATFZONE. Ошибка ленты больше не должна пропускать меню; F2 показывает причину. В №111 также исправлено прерывание инициализации при ошибке вывода сообщения в командную строку. В №112 добавлено ожидание готовности меню с повтором инициализации. Проверьте загрузку при полном перезапуске и после открытия DWG; точная причина предупреждения ACAD:Фасады ещё не подтверждена.</w:t>
      </w:r>
    </w:p>
    <w:p>
      <w:pPr>
        <w:ind w:left="317" w:hanging="317"/>
      </w:pPr>
      <w:r>
        <w:t xml:space="preserve">4. </w:t>
      </w:r>
      <w:r>
        <w:rPr>
          <w:b/>
        </w:rPr>
        <w:t>ATFNODE — eInvalidKey.</w:t>
      </w:r>
      <w:r>
        <w:t xml:space="preserve"> После ATFPROJECT и ATFZONEPARAMS вставьте схему при обычном оформлении «По слою», проверьте подписи и повторное открытие. Недопустимое чтение прозрачности исправлено; ожидается вставка без исключения.</w:t>
      </w:r>
    </w:p>
    <w:p>
      <w:pPr>
        <w:ind w:left="317" w:hanging="317"/>
      </w:pPr>
      <w:r>
        <w:t xml:space="preserve">5. </w:t>
      </w:r>
      <w:r>
        <w:rPr>
          <w:b/>
        </w:rPr>
        <w:t>Динамическая «кассета 2».</w:t>
      </w:r>
      <w:r>
        <w:t xml:space="preserve"> Повторите 821,87×600 мм с образцом и без него, измерьте габариты и базу. Оценивается окончательная пара размеров, включая уже точные свойства «только чтение». Конкретный отказ с фотографии ещё требует нативного повтора; блок не подменяется прямоугольником.</w:t>
      </w:r>
    </w:p>
    <w:p>
      <w:pPr>
        <w:ind w:left="317" w:hanging="317"/>
      </w:pPr>
      <w:r>
        <w:t xml:space="preserve">6. </w:t>
      </w:r>
      <w:r>
        <w:rPr>
          <w:b/>
        </w:rPr>
        <w:t>ACAD:Фасады при запуске.</w:t>
      </w:r>
      <w:r>
        <w:t xml:space="preserve"> После штатного выхода/входа проверьте меню и ручную команду. Исправлены поиск и очистка своего меню после перестановок групп CUI/СПДС. Если предупреждение осталось, передайте F2 и снимок текущего рабочего пространства, не удаляя профиль.</w:t>
      </w:r>
    </w:p>
    <w:p>
      <w:pPr>
        <w:ind w:left="317" w:hanging="317"/>
      </w:pPr>
      <w:r>
        <w:t xml:space="preserve">7. </w:t>
      </w:r>
      <w:r>
        <w:rPr>
          <w:b/>
        </w:rPr>
        <w:t>Торцы у окон.</w:t>
      </w:r>
      <w:r>
        <w:t xml:space="preserve"> Измерьте низ/верх окна в вертикальной и ортогональной схемах: исходные оси доходят до грани проёма; отступ 100 мм и выступы 50/50 относятся к отдельным боковым стойкам. Старт кронштейна ради обхода ошибки не меняйте.</w:t>
      </w:r>
    </w:p>
    <w:p>
      <w:pPr>
        <w:ind w:left="317" w:hanging="317"/>
      </w:pPr>
      <w:r>
        <w:t xml:space="preserve">8. </w:t>
      </w:r>
      <w:r>
        <w:rPr>
          <w:b/>
        </w:rPr>
        <w:t>Хлыст и добор.</w:t>
      </w:r>
      <w:r>
        <w:t xml:space="preserve"> На непрерывном участке 3300 мм при хлысте 3000 и зазоре 10 ожидаются 3000 + 10 + 290 мм. Добор имеет одну центральную опору и красное замечание, а не два уравненных куска; см. раздел 7.7.</w:t>
      </w:r>
    </w:p>
    <w:p>
      <w:pPr>
        <w:ind w:left="317" w:hanging="317"/>
      </w:pPr>
      <w:r>
        <w:t xml:space="preserve">9. </w:t>
      </w:r>
      <w:r>
        <w:rPr>
          <w:b/>
        </w:rPr>
        <w:t>Стойки верхних окон.</w:t>
      </w:r>
      <w:r>
        <w:t xml:space="preserve"> Пройдите точный фасад с 15 окнами по разделам 7.4–7.5. Боковые стойки присутствуют у каждого ряда; стыки и хлыстовые зазоры сохраняются. Для №112 задайте геометрический вынос L=230 мм и отдельно сверьте угловые оси и швеллеры; старые общие количества из выпуска №111 к этой схеме не применяются.</w:t>
      </w:r>
    </w:p>
    <w:p>
      <w:pPr>
        <w:ind w:left="317" w:hanging="317"/>
      </w:pPr>
      <w:r>
        <w:t xml:space="preserve">10. </w:t>
      </w:r>
      <w:r>
        <w:rPr>
          <w:b/>
        </w:rPr>
        <w:t>Лишняя стойка при дробном X.</w:t>
      </w:r>
      <w:r>
        <w:t xml:space="preserve"> Сравните исходник и полностью перенесённую по X на 0,12344 мм копию у граничного расстояния 50 мм. После вычитания переноса количество/геометрия совпадают в обеих схемах; нужная стойка за пределом 50 мм сохраняется. Контрольные 10/6 относятся только к синтетическому входу, не к произвольному фасаду.</w:t>
      </w:r>
    </w:p>
    <w:p>
      <w:pPr>
        <w:ind w:left="317" w:hanging="317"/>
      </w:pPr>
      <w:r>
        <w:t xml:space="preserve">11. </w:t>
      </w:r>
      <w:r>
        <w:rPr>
          <w:b/>
        </w:rPr>
        <w:t>Верхние ортогональные кронштейны при дробном Y.</w:t>
      </w:r>
      <w:r>
        <w:t xml:space="preserve"> Сравните исходник и перенос X +0,12344 / Y −0,37544 мм. Верхние опоры не исчезают; после учёта переноса число и позиции совпадают. Синтетический контроль сохраняет 34 вместо ошибочных 32, но это не общий норматив количества.</w:t>
      </w:r>
    </w:p>
    <w:p>
      <w:pPr>
        <w:ind w:left="317" w:hanging="317"/>
      </w:pPr>
      <w:r>
        <w:t xml:space="preserve">12. </w:t>
      </w:r>
      <w:r>
        <w:rPr>
          <w:b/>
        </w:rPr>
        <w:t>Ложный успех проверки узла.</w:t>
      </w:r>
      <w:r>
        <w:t xml:space="preserve"> После правильного ATFNODETEST на отдельной копии </w:t>
      </w:r>
      <w:r>
        <w:rPr>
          <w:b/>
        </w:rPr>
        <w:t>всего DWG</w:t>
      </w:r>
      <w:r>
        <w:t xml:space="preserve"> исказите текстовую подмену, округление или DIMLFAC самого размера; неверные данные должны отклоняться. COPY вставки с последующим BEDIT не изолирует общее определение. Равномерный масштаб вставки сам по себе допустим. Отдельно проверьте дюймовые единицы; исходную библиотеку не портите.</w:t>
      </w:r>
    </w:p>
    <w:p>
      <w:pPr>
        <w:ind w:left="317" w:hanging="317"/>
      </w:pPr>
      <w:r>
        <w:t xml:space="preserve">13. </w:t>
      </w:r>
      <w:r>
        <w:rPr>
          <w:b/>
        </w:rPr>
        <w:t>Зависимость автора узла от DWT.</w:t>
      </w:r>
      <w:r>
        <w:t xml:space="preserve"> Подготовьте отдельный пустой шаблон с DIMRND и выключенным слоем, назначенным в DIMLAYER. Начните новый, ещё не изменённый DWG из этого шаблона и выполните APPLOAD → ATFNATIVEBUILD по главе 13. Размеры должны быть видны и соответствовать модели; непригодный слой 0 отклоняется до изменений. Сохраните F2 с этапом/командой/последним запросом. Не меняйте настройки непосредственно перед автором в новом DWG: он требует чистый исходник.</w:t>
      </w:r>
    </w:p>
    <w:p>
      <w:pPr>
        <w:ind w:left="317" w:hanging="317"/>
      </w:pPr>
      <w:r>
        <w:t xml:space="preserve">14. </w:t>
      </w:r>
      <w:r>
        <w:rPr>
          <w:b/>
        </w:rPr>
        <w:t>Дробная подрезка 245×35,85 мм.</w:t>
      </w:r>
      <w:r>
        <w:t xml:space="preserve"> На копии исходного DWG повторите отказавший ATTILE с тем же образцом 245×65 и параметрами. Измерьте полученную подрезку через </w:t>
      </w:r>
      <w:r>
        <w:rPr>
          <w:rFonts w:ascii="DejaVu Sans Mono" w:hAnsi="DejaVu Sans Mono"/>
          <w:sz w:val="19"/>
        </w:rPr>
        <w:t>_DIST</w:t>
      </w:r>
      <w:r>
        <w:t xml:space="preserve"> с достаточной точностью и сверьте динамические свойства: ожидается 245×35,85, а не 245×36 мм. Повторите после сохранения и открытия. Непрерывное дробное свойство должно позволять успешное построение. Если конкретный блок не принимает значение или округляет его, отметьте «не пройден» и сохраните всю диагностику F2: запрос, факт, CLR/API тип, единицы и допустимые значения. Не меняйте ограничения блока наугад.</w:t>
      </w:r>
    </w:p>
    <w:p>
      <w:pPr>
        <w:ind w:left="317" w:hanging="317"/>
      </w:pPr>
      <w:r>
        <w:t xml:space="preserve">15. </w:t>
      </w:r>
      <w:r>
        <w:rPr>
          <w:b/>
        </w:rPr>
        <w:t>Близкие размеры не подменяют друг друга.</w:t>
      </w:r>
      <w:r>
        <w:t xml:space="preserve"> На отдельной копии контрольной раскладки с поддерживающим дроби блоком получите два размера одной стороны 245,001 и 245,004 мм при одинаковой второй стороне. Измерьте обе детали, повторите построение, сохраните и откройте DWG. Каждая должна сохранить собственный размер. Это специальный программный тест точности, не требование к изготовлению. Если такого входа нет, отметьте «не выполнен», не заменяйте его проверкой двух одинаковых деталей.</w:t>
      </w:r>
    </w:p>
    <w:p>
      <w:pPr>
        <w:ind w:left="317" w:hanging="317"/>
      </w:pPr>
      <w:r>
        <w:t xml:space="preserve">16. </w:t>
      </w:r>
      <w:r>
        <w:rPr>
          <w:b/>
        </w:rPr>
        <w:t>Автор узла после ошибок Visibility и Undo.</w:t>
      </w:r>
      <w:r>
        <w:t xml:space="preserve"> В новом чистом DWG загрузите LISP 2026-10-08.2, выполните ATFNATIVEBUILD по главе 13. Ожидается завершение без зависшего запроса числа ручек, сообщение успешной проверки и сохранённый библиотечный DWG. Затем выполните весь сценарий «три из пяти», Properties, ручки, COPY, UNDO и повторное открытие. При ошибке сохраните AFN STAGE, AFN COMMAND, AFN LAST PROMPT, UNDOCTL и сообщение очистки. Не закрывайте чужую группу Undo вручную ради обхода отказа. Прежняя ошибка 61 не считается устранённой только потому, что программа безопасно отказала.</w:t>
      </w:r>
    </w:p>
    <w:p>
      <w:pPr>
        <w:ind w:left="317" w:hanging="317"/>
      </w:pPr>
      <w:r>
        <w:t xml:space="preserve">17. </w:t>
      </w:r>
      <w:r>
        <w:rPr>
          <w:b/>
        </w:rPr>
        <w:t>Фактическая геометрия совпадает со свойствами.</w:t>
      </w:r>
      <w:r>
        <w:t xml:space="preserve"> На обычном дробном образце после ATTILE измерьте ширину, высоту и положение левого нижнего угла. Свойства и нарисованная геометрия должны совпадать с заданными размерами и точкой вставки; одного правильного числа в Properties недостаточно. Повторите измерение после сохранения и открытия. Отказ построения отмечайте как непройденный обычный сценарий.</w:t>
      </w:r>
    </w:p>
    <w:p>
      <w:pPr>
        <w:ind w:left="317" w:hanging="317"/>
      </w:pPr>
      <w:r>
        <w:t xml:space="preserve">18. </w:t>
      </w:r>
      <w:r>
        <w:rPr>
          <w:b/>
        </w:rPr>
        <w:t>Вертикальный внешний угол.</w:t>
      </w:r>
      <w:r>
        <w:t xml:space="preserve"> На учебной стене 6000×6000 мм включите «внешние углы здания», укажите точку на левой вертикальной границе X=0 и завершите список Enter. При L=230 мм ожидаются ряды X=0 и X=330. Швеллер каждого полного ряда имеет габарит 430×100 мм, X от −50 до 380; середина по Y совпадает с отметкой парных кронштейнов. Проверьте размер через </w:t>
      </w:r>
      <w:r>
        <w:rPr>
          <w:rFonts w:ascii="DejaVu Sans Mono" w:hAnsi="DejaVu Sans Mono"/>
          <w:sz w:val="19"/>
        </w:rPr>
        <w:t>_DIST</w:t>
      </w:r>
      <w:r>
        <w:t>, шаг швеллеров и предупреждение об условной схеме. Число рядов зависит от выбранного шага и контура. Нельзя приписывать схеме фактические монтажные смещения или расчётную несущую способность швеллера.</w:t>
      </w:r>
    </w:p>
    <w:p>
      <w:pPr>
        <w:ind w:left="317" w:hanging="317"/>
      </w:pPr>
      <w:r>
        <w:t xml:space="preserve">19. </w:t>
      </w:r>
      <w:r>
        <w:rPr>
          <w:b/>
        </w:rPr>
        <w:t>Правый угол и дробный вынос.</w:t>
      </w:r>
      <w:r>
        <w:t xml:space="preserve"> На отдельной копии выберите правую границу X=6000. Для L=230 ожидаются оси X=6000 и X=5670, швеллер X от 5620 до 6050. Затем задайте L=230,5 мм: расстояние осей должно стать 330,5, длина швеллера 430,5 мм. Если зона привязана к ATFPROJECT, изменяйте геометрический вынос в параметрах проекта/зоны; расчётное плечо нагрузки для этого не меняйте.</w:t>
      </w:r>
    </w:p>
    <w:p>
      <w:pPr>
        <w:ind w:left="317" w:hanging="317"/>
      </w:pPr>
      <w:r>
        <w:t xml:space="preserve">20. </w:t>
      </w:r>
      <w:r>
        <w:rPr>
          <w:b/>
        </w:rPr>
        <w:t>Ортогональная и межэтажная системы.</w:t>
      </w:r>
      <w:r>
        <w:t xml:space="preserve"> Повторите левый угол с L=230 мм в каждой системе. Первый ряд кронштейнов — на 330 мм внутрь от угла, последующие — с принятым шагом. Угловых швеллеров и дополнительного ряда на самой границе быть не должно. Для межэтажной схемы укажите реальные учебные отметки и ручной шаг; расчётный подбор этой схемы не заявлен.</w:t>
      </w:r>
    </w:p>
    <w:p>
      <w:pPr>
        <w:ind w:left="317" w:hanging="317"/>
      </w:pPr>
      <w:r>
        <w:t xml:space="preserve">21. </w:t>
      </w:r>
      <w:r>
        <w:rPr>
          <w:b/>
        </w:rPr>
        <w:t>Углы не выбраны и отмена ввода.</w:t>
      </w:r>
      <w:r>
        <w:t xml:space="preserve"> В копии с готовой подсистемой выключите галку углов либо завершите список сразу Enter: новые угловые ряды и швеллеры не создаются, обычная сетка работает по прежним правилам. Отдельно нажмите Esc при выборе угла и при запросе L: команда завершается, прежние объекты сохраняются, следующие запросы не продолжаются. Enter и Esc имеют разные значения.</w:t>
      </w:r>
    </w:p>
    <w:p>
      <w:pPr>
        <w:ind w:left="317" w:hanging="317"/>
      </w:pPr>
      <w:r>
        <w:t xml:space="preserve">22. </w:t>
      </w:r>
      <w:r>
        <w:rPr>
          <w:b/>
        </w:rPr>
        <w:t>Повтор подсистемы и ведомость швеллеров.</w:t>
      </w:r>
      <w:r>
        <w:t xml:space="preserve"> Повторите успешный ATFRAME с теми же параметрами: дубликатов нет. В ATFTABLE → Подсистема → Элементы сверьте количество швеллеров и общую длину с нарисованными прямоугольниками. Сохраните DWG/JSON, закройте и откройте, повторите ведомость. При замене вертикальной схемы ортогональной прежние швеллеры удаляются. На отдельной копии проверьте Undo; внешний JSON при необходимости восстанавливайте из резервной пары.</w:t>
      </w:r>
    </w:p>
    <w:p>
      <w:pPr>
        <w:ind w:left="317" w:hanging="317"/>
      </w:pPr>
      <w:r>
        <w:t xml:space="preserve">23. </w:t>
      </w:r>
      <w:r>
        <w:rPr>
          <w:b/>
        </w:rPr>
        <w:t>Прежний отказ ATTILE 563,55×588,25 мм.</w:t>
      </w:r>
      <w:r>
        <w:t xml:space="preserve"> Повторите исходный типовой блок и настройки, не меняя его ограничения наугад. Ожидается действительно построенная геометрия заданного размера; 564×588 мм не принимается за успех. При отказе сохраните полный F2 с исходной причиной AutoCAD, именем свойства, запрошенной и считанной парой. Отметьте «не пройден». Новый текст ошибки сам по себе не означает устранение отказа. Целый контроль того же блока выполните отдельно; подмена блока прямоугольником не закрывает этот сценарий.</w:t>
      </w:r>
    </w:p>
    <w:p>
      <w:pPr>
        <w:ind w:left="317" w:hanging="317"/>
      </w:pPr>
      <w:r>
        <w:t xml:space="preserve">24. </w:t>
      </w:r>
      <w:r>
        <w:rPr>
          <w:b/>
        </w:rPr>
        <w:t>ATFZONE — контур не на Z = 0 (№113).</w:t>
      </w:r>
      <w:r>
        <w:t xml:space="preserve"> На копии DWG выберите контур, на котором прежде появлялось «Зоны не созданы: … поддерживается только плоскость XY с Z = 0». Ожидается сообщение «Контуры не в плоскости XY с Z = 0» с номером контура и отметкой Z либо пометкой «развёрнут, нормаль вниз», затем вопрос «Перенести эти контуры на Z = 0 и продолжить?». Нажмите Enter («Да»): зона, штриховка и марка создаются, в «Свойствах» контура «Уровень» равен 0, вид в плане не изменился. Пройдите по этой зоне ATTILE, ATFRAME и ATFTABLE, сохраните, закройте и откройте DWG. Отдельно проверьте U сразу после ATFZONE (контур возвращается на прежнюю отметку, зоны нет) и ответ «Нет» (отмена без изменений с подсказкой). Если контур начерчен в повёрнутой ПСК и стоит вертикально, он пропускается с причиной «лежит не в плане»: такой контур нужно перечертить в мировой ПСК.</w:t>
      </w:r>
    </w:p>
    <w:p>
      <w:r>
        <w:t>Декларации всех четырёх команд узлов в пакете AFrame сохранены. Для этого испытания используйте только общий комплект №113 и отдельно указанный LISP. Время обычного расчёта и вставки записывайте на одном и том же DWG до и после обновления; скорость синтетического стенда не является временем работы AutoCAD.</w:t>
      </w:r>
    </w:p>
    <w:p>
      <w:bookmarkStart w:id="124" w:name="chapter_4"/>
      <w:pPr>
        <w:pStyle w:val="Heading1"/>
      </w:pPr>
      <w:r>
        <w:t>3 Пять правил перед первым чертежом</w:t>
      </w:r>
      <w:bookmarkEnd w:id="124"/>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 Если контур лежит выше или ниже Z = 0 (свойство «Уровень» не 0) или развёрнут нормалью вниз, ATFZONE сообщит об этом и предложит перенести его на Z = 0; вид в плане при этом не меняется. Вертикальный или наклонный контур, начерченный в повёрнутой ПСК, не принимается.</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138" w:name="chapter_5"/>
      <w:pPr>
        <w:pStyle w:val="Heading1"/>
      </w:pPr>
      <w:r>
        <w:t>4 Учебный фасад исходник и проверочные размеры</w:t>
      </w:r>
      <w:bookmarkEnd w:id="138"/>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Скачайте </w:t>
      </w:r>
      <w:hyperlink r:id="rId13">
        <w:r>
          <w:rPr>
            <w:color w:val="245D83"/>
          </w:rPr>
          <w:t>учебный исходник 01_source_rect.dxf</w:t>
        </w:r>
      </w:hyperlink>
      <w:r>
        <w:t xml:space="preserve"> и откройте его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64" w:name="chapter_6"/>
      <w:pPr>
        <w:pStyle w:val="Heading1"/>
      </w:pPr>
      <w:r>
        <w:t>5 Шаг 1 создать зону командой ATFZONE</w:t>
      </w:r>
      <w:bookmarkEnd w:id="164"/>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212" w:name="chapter_7"/>
      <w:pPr>
        <w:pStyle w:val="Heading1"/>
      </w:pPr>
      <w:r>
        <w:t>6 Шаг 2 разложить плитку командой ATTILE</w:t>
      </w:r>
      <w:bookmarkEnd w:id="212"/>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5"/>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6"/>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7"/>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67" w:name="chapter_8"/>
      <w:pPr>
        <w:pStyle w:val="Heading1"/>
      </w:pPr>
      <w:r>
        <w:t>7 Шаг 3 построить подсистему ATFRAME</w:t>
      </w:r>
      <w:bookmarkEnd w:id="267"/>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8"/>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9"/>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20"/>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pPr>
        <w:pStyle w:val="Heading2"/>
      </w:pPr>
      <w:r>
        <w:t>7 4 Проверка расчёта на фасаде с пятнадцатью окнами</w:t>
      </w:r>
    </w:p>
    <w:p>
      <w:r>
        <w:t>Это отдельное упражнение под керамогранит. Оно позволяет проверить исправление коротких направляющих и работу режима «по расчёту» на фасаде с окнами. Сначала выполните его по указанным исходным данным, затем переходите к своему объекту. Установленные здесь нагрузки и шаги служат повторяемости проверки программы.</w:t>
      </w:r>
    </w:p>
    <w:p>
      <w:r>
        <w:t xml:space="preserve">Скачайте </w:t>
      </w:r>
      <w:hyperlink r:id="rId21">
        <w:r>
          <w:rPr>
            <w:color w:val="245D83"/>
          </w:rPr>
          <w:t>Facade_18x12_15windows.dxf</w:t>
        </w:r>
      </w:hyperlink>
      <w:r>
        <w:t xml:space="preserve">. Откройте и сохраните его как </w:t>
      </w:r>
      <w:r>
        <w:rPr>
          <w:rFonts w:ascii="DejaVu Sans Mono" w:hAnsi="DejaVu Sans Mono"/>
          <w:sz w:val="19"/>
        </w:rPr>
        <w:t>Pilot_windows.dwg</w:t>
      </w:r>
      <w:r>
        <w:t xml:space="preserve"> в отдельной папке. В файле только наружный контур и 15 окон; готовых зон, раскладки и подсистемы нет. Обе стороны учебной стены считаем наружными углами здания.</w:t>
      </w:r>
    </w:p>
    <w:p>
      <w:pPr>
        <w:keepNext/>
        <w:jc w:val="center"/>
      </w:pPr>
      <w:r>
        <w:drawing>
          <wp:inline xmlns:a="http://schemas.openxmlformats.org/drawingml/2006/main" xmlns:pic="http://schemas.openxmlformats.org/drawingml/2006/picture">
            <wp:extent cx="6400800" cy="2510118"/>
            <wp:docPr id="9" name="Picture 9" descr="Учебные исходные контуры фасада 18 на 12 метров с пятнадцатью окнами и наружными углами по обоим краям"/>
            <wp:cNvGraphicFramePr>
              <a:graphicFrameLocks noChangeAspect="1"/>
            </wp:cNvGraphicFramePr>
            <a:graphic>
              <a:graphicData uri="http://schemas.openxmlformats.org/drawingml/2006/picture">
                <pic:pic>
                  <pic:nvPicPr>
                    <pic:cNvPr id="0" name="windows_source.png"/>
                    <pic:cNvPicPr/>
                  </pic:nvPicPr>
                  <pic:blipFill>
                    <a:blip r:embed="rId22"/>
                    <a:stretch>
                      <a:fillRect/>
                    </a:stretch>
                  </pic:blipFill>
                  <pic:spPr>
                    <a:xfrm>
                      <a:off x="0" y="0"/>
                      <a:ext cx="6400800" cy="2510118"/>
                    </a:xfrm>
                    <a:prstGeom prst="rect"/>
                  </pic:spPr>
                </pic:pic>
              </a:graphicData>
            </a:graphic>
          </wp:inline>
        </w:drawing>
      </w:r>
    </w:p>
    <w:p>
      <w:pPr>
        <w:pStyle w:val="Caption"/>
        <w:jc w:val="center"/>
      </w:pPr>
      <w:r>
        <w:t>Рисунок 9. Учебные исходные контуры фасада 18 на 12 метров с пятнадцатью окнами и наружными углами по обоим краям</w:t>
      </w:r>
    </w:p>
    <w:p>
      <w:r>
        <w:t>На рисунке показана схема исходников, не результат запуска AutoCAD. Стена: от 0,0 до 18000,12000 мм. Окна: 1500×1500 мм; их левые координаты X равны 1500, 4500, 7500, 10500 и 13500 мм, нижние Y — 1200, 4200 и 7200 мм. Такое описание позволяет восстановить исходник самостоятельно.</w:t>
      </w:r>
    </w:p>
    <w:p>
      <w:pPr>
        <w:ind w:left="317" w:hanging="317"/>
      </w:pPr>
      <w:r>
        <w:t xml:space="preserve">1. Выполните </w:t>
      </w:r>
      <w:r>
        <w:rPr>
          <w:b/>
        </w:rPr>
        <w:t>ATFZONE</w:t>
      </w:r>
      <w:r>
        <w:t xml:space="preserve">, выбрав наружный контур и все 15 окон. Создайте одну зону, сохраните JSON рядом с DWG. Проверьте площадь: 18×12 − 15×1,5×1,5 = </w:t>
      </w:r>
      <w:r>
        <w:rPr>
          <w:b/>
        </w:rPr>
        <w:t>182,25 м²</w:t>
      </w:r>
      <w:r>
        <w:t>.</w:t>
      </w:r>
    </w:p>
    <w:p>
      <w:pPr>
        <w:ind w:left="317" w:hanging="317"/>
      </w:pPr>
      <w:r>
        <w:t xml:space="preserve">2. До ATTILE вызовите </w:t>
      </w:r>
      <w:r>
        <w:rPr>
          <w:b/>
        </w:rPr>
        <w:t>ATFRAME</w:t>
      </w:r>
      <w:r>
        <w:t xml:space="preserve"> по этой зоне. Историческую карточку «Решение и каталог» здесь не выбирайте: у неё отдельные ограничения, описанные в главе 13.</w:t>
      </w:r>
    </w:p>
    <w:p>
      <w:pPr>
        <w:ind w:left="317" w:hanging="317"/>
      </w:pPr>
      <w:r>
        <w:t xml:space="preserve">3. Введите параметры из таблицы. После «Разложить» задайте первую ось точкой </w:t>
      </w:r>
      <w:r>
        <w:rPr>
          <w:b/>
        </w:rPr>
        <w:t>608,0</w:t>
      </w:r>
      <w:r>
        <w:t xml:space="preserve">, наружные углы точками </w:t>
      </w:r>
      <w:r>
        <w:rPr>
          <w:b/>
        </w:rPr>
        <w:t>0,0</w:t>
      </w:r>
      <w:r>
        <w:t xml:space="preserve"> и </w:t>
      </w:r>
      <w:r>
        <w:rPr>
          <w:b/>
        </w:rPr>
        <w:t>18000,0</w:t>
      </w:r>
      <w:r>
        <w:t xml:space="preserve">. Каждый список завершайте Enter. После выбора углов на запрос выноса облицовки введите </w:t>
      </w:r>
      <w:r>
        <w:rPr>
          <w:b/>
        </w:rPr>
        <w:t>230 мм</w:t>
      </w:r>
      <w:r>
        <w:t>. Это отдельное значение L, совпадение с плечом расчёта в учебном примере задано явно.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86"/>
        <w:gridCol w:w="5094"/>
      </w:tblGrid>
      <w:tr>
        <w:trPr>
          <w:cantSplit/>
          <w:tblHeader/>
        </w:trPr>
        <w:tc>
          <w:tcPr>
            <w:tcW w:type="dxa" w:w="4986"/>
            <w:vAlign w:val="center"/>
            <w:tcMar>
              <w:top w:w="85" w:type="dxa"/>
              <w:bottom w:w="85" w:type="dxa"/>
              <w:left w:w="100" w:type="dxa"/>
              <w:right w:w="100" w:type="dxa"/>
            </w:tcMar>
            <w:shd w:fill="23485F"/>
          </w:tcPr>
          <w:p>
            <w:pPr>
              <w:spacing w:after="0" w:before="0" w:line="259" w:lineRule="auto"/>
            </w:pPr>
            <w:r>
              <w:rPr>
                <w:b/>
                <w:color w:val="FFFFFF"/>
                <w:sz w:val="20"/>
              </w:rPr>
              <w:t>Параметр</w:t>
            </w:r>
          </w:p>
        </w:tc>
        <w:tc>
          <w:tcPr>
            <w:tcW w:type="dxa" w:w="5094"/>
            <w:vAlign w:val="center"/>
            <w:tcMar>
              <w:top w:w="85" w:type="dxa"/>
              <w:bottom w:w="85" w:type="dxa"/>
              <w:left w:w="100" w:type="dxa"/>
              <w:right w:w="100" w:type="dxa"/>
            </w:tcMar>
            <w:shd w:fill="23485F"/>
          </w:tcPr>
          <w:p>
            <w:pPr>
              <w:spacing w:after="0" w:before="0" w:line="259" w:lineRule="auto"/>
            </w:pPr>
            <w:r>
              <w:rPr>
                <w:b/>
                <w:color w:val="FFFFFF"/>
                <w:sz w:val="20"/>
              </w:rPr>
              <w:t>Учебное значение</w:t>
            </w:r>
          </w:p>
        </w:tc>
      </w:tr>
      <w:tr>
        <w:trPr>
          <w:cantSplit/>
        </w:trPr>
        <w:tc>
          <w:tcPr>
            <w:tcW w:type="dxa" w:w="4986"/>
            <w:vAlign w:val="center"/>
            <w:tcMar>
              <w:top w:w="85" w:type="dxa"/>
              <w:bottom w:w="85" w:type="dxa"/>
              <w:left w:w="100" w:type="dxa"/>
              <w:right w:w="100" w:type="dxa"/>
            </w:tcMar>
            <w:shd w:fill="FFFFFF"/>
          </w:tcPr>
          <w:p>
            <w:pPr>
              <w:spacing w:after="0" w:before="0" w:line="259" w:lineRule="auto"/>
            </w:pPr>
            <w:r>
              <w:rPr>
                <w:color w:val="000000"/>
                <w:sz w:val="20"/>
              </w:rPr>
              <w:t>Материал и состав</w:t>
            </w:r>
          </w:p>
        </w:tc>
        <w:tc>
          <w:tcPr>
            <w:tcW w:type="dxa" w:w="5094"/>
            <w:vAlign w:val="center"/>
            <w:tcMar>
              <w:top w:w="85" w:type="dxa"/>
              <w:bottom w:w="85" w:type="dxa"/>
              <w:left w:w="100" w:type="dxa"/>
              <w:right w:w="100" w:type="dxa"/>
            </w:tcMar>
            <w:shd w:fill="FFFFFF"/>
          </w:tcPr>
          <w:p>
            <w:pPr>
              <w:spacing w:after="0" w:before="0" w:line="259" w:lineRule="auto"/>
            </w:pPr>
            <w:r>
              <w:rPr>
                <w:color w:val="000000"/>
                <w:sz w:val="20"/>
              </w:rPr>
              <w:t>Керамогранит, только подсистема</w:t>
            </w:r>
          </w:p>
        </w:tc>
      </w:tr>
      <w:tr>
        <w:trPr>
          <w:cantSplit/>
        </w:trPr>
        <w:tc>
          <w:tcPr>
            <w:tcW w:type="dxa" w:w="4986"/>
            <w:vAlign w:val="center"/>
            <w:tcMar>
              <w:top w:w="85" w:type="dxa"/>
              <w:bottom w:w="85" w:type="dxa"/>
              <w:left w:w="100" w:type="dxa"/>
              <w:right w:w="100" w:type="dxa"/>
            </w:tcMar>
            <w:shd w:fill="F1F5F7"/>
          </w:tcPr>
          <w:p>
            <w:pPr>
              <w:spacing w:after="0" w:before="0" w:line="259" w:lineRule="auto"/>
            </w:pPr>
            <w:r>
              <w:rPr>
                <w:color w:val="000000"/>
                <w:sz w:val="20"/>
              </w:rPr>
              <w:t>Схема и профиль</w:t>
            </w:r>
          </w:p>
        </w:tc>
        <w:tc>
          <w:tcPr>
            <w:tcW w:type="dxa" w:w="5094"/>
            <w:vAlign w:val="center"/>
            <w:tcMar>
              <w:top w:w="85" w:type="dxa"/>
              <w:bottom w:w="85" w:type="dxa"/>
              <w:left w:w="100" w:type="dxa"/>
              <w:right w:w="100" w:type="dxa"/>
            </w:tcMar>
            <w:shd w:fill="F1F5F7"/>
          </w:tcPr>
          <w:p>
            <w:pPr>
              <w:spacing w:after="0" w:before="0" w:line="259" w:lineRule="auto"/>
            </w:pPr>
            <w:r>
              <w:rPr>
                <w:color w:val="000000"/>
                <w:sz w:val="20"/>
              </w:rPr>
              <w:t>Вертикальная, профиль «Авто»</w:t>
            </w:r>
          </w:p>
        </w:tc>
      </w:tr>
      <w:tr>
        <w:trPr>
          <w:cantSplit/>
        </w:trPr>
        <w:tc>
          <w:tcPr>
            <w:tcW w:type="dxa" w:w="4986"/>
            <w:vAlign w:val="center"/>
            <w:tcMar>
              <w:top w:w="85" w:type="dxa"/>
              <w:bottom w:w="85" w:type="dxa"/>
              <w:left w:w="100" w:type="dxa"/>
              <w:right w:w="100" w:type="dxa"/>
            </w:tcMar>
            <w:shd w:fill="FFFFFF"/>
          </w:tcPr>
          <w:p>
            <w:pPr>
              <w:spacing w:after="0" w:before="0" w:line="259" w:lineRule="auto"/>
            </w:pPr>
            <w:r>
              <w:rPr>
                <w:color w:val="000000"/>
                <w:sz w:val="20"/>
              </w:rPr>
              <w:t>Способ задания шагов</w:t>
            </w:r>
          </w:p>
        </w:tc>
        <w:tc>
          <w:tcPr>
            <w:tcW w:type="dxa" w:w="5094"/>
            <w:vAlign w:val="center"/>
            <w:tcMar>
              <w:top w:w="85" w:type="dxa"/>
              <w:bottom w:w="85" w:type="dxa"/>
              <w:left w:w="100" w:type="dxa"/>
              <w:right w:w="100" w:type="dxa"/>
            </w:tcMar>
            <w:shd w:fill="FFFFFF"/>
          </w:tcPr>
          <w:p>
            <w:pPr>
              <w:spacing w:after="0" w:before="0" w:line="259" w:lineRule="auto"/>
            </w:pPr>
            <w:r>
              <w:rPr>
                <w:color w:val="000000"/>
                <w:sz w:val="20"/>
              </w:rPr>
              <w:t>По расчёту несущей способности</w:t>
            </w:r>
          </w:p>
        </w:tc>
      </w:tr>
      <w:tr>
        <w:trPr>
          <w:cantSplit/>
        </w:trPr>
        <w:tc>
          <w:tcPr>
            <w:tcW w:type="dxa" w:w="4986"/>
            <w:vAlign w:val="center"/>
            <w:tcMar>
              <w:top w:w="85" w:type="dxa"/>
              <w:bottom w:w="85" w:type="dxa"/>
              <w:left w:w="100" w:type="dxa"/>
              <w:right w:w="100" w:type="dxa"/>
            </w:tcMar>
            <w:shd w:fill="F1F5F7"/>
          </w:tcPr>
          <w:p>
            <w:pPr>
              <w:spacing w:after="0" w:before="0" w:line="259" w:lineRule="auto"/>
            </w:pPr>
            <w:r>
              <w:rPr>
                <w:color w:val="000000"/>
                <w:sz w:val="20"/>
              </w:rPr>
              <w:t>Район и местность</w:t>
            </w:r>
          </w:p>
        </w:tc>
        <w:tc>
          <w:tcPr>
            <w:tcW w:type="dxa" w:w="5094"/>
            <w:vAlign w:val="center"/>
            <w:tcMar>
              <w:top w:w="85" w:type="dxa"/>
              <w:bottom w:w="85" w:type="dxa"/>
              <w:left w:w="100" w:type="dxa"/>
              <w:right w:w="100" w:type="dxa"/>
            </w:tcMar>
            <w:shd w:fill="F1F5F7"/>
          </w:tcPr>
          <w:p>
            <w:pPr>
              <w:spacing w:after="0" w:before="0" w:line="259" w:lineRule="auto"/>
            </w:pPr>
            <w:r>
              <w:rPr>
                <w:color w:val="000000"/>
                <w:sz w:val="20"/>
              </w:rPr>
              <w:t>II и B</w:t>
            </w:r>
          </w:p>
        </w:tc>
      </w:tr>
      <w:tr>
        <w:trPr>
          <w:cantSplit/>
        </w:trPr>
        <w:tc>
          <w:tcPr>
            <w:tcW w:type="dxa" w:w="4986"/>
            <w:vAlign w:val="center"/>
            <w:tcMar>
              <w:top w:w="85" w:type="dxa"/>
              <w:bottom w:w="85" w:type="dxa"/>
              <w:left w:w="100" w:type="dxa"/>
              <w:right w:w="100" w:type="dxa"/>
            </w:tcMar>
            <w:shd w:fill="FFFFFF"/>
          </w:tcPr>
          <w:p>
            <w:pPr>
              <w:spacing w:after="0" w:before="0" w:line="259" w:lineRule="auto"/>
            </w:pPr>
            <w:r>
              <w:rPr>
                <w:color w:val="000000"/>
                <w:sz w:val="20"/>
              </w:rPr>
              <w:t>Высота здания и масса облицовки</w:t>
            </w:r>
          </w:p>
        </w:tc>
        <w:tc>
          <w:tcPr>
            <w:tcW w:type="dxa" w:w="5094"/>
            <w:vAlign w:val="center"/>
            <w:tcMar>
              <w:top w:w="85" w:type="dxa"/>
              <w:bottom w:w="85" w:type="dxa"/>
              <w:left w:w="100" w:type="dxa"/>
              <w:right w:w="100" w:type="dxa"/>
            </w:tcMar>
            <w:shd w:fill="FFFFFF"/>
          </w:tcPr>
          <w:p>
            <w:pPr>
              <w:spacing w:after="0" w:before="0" w:line="259" w:lineRule="auto"/>
            </w:pPr>
            <w:r>
              <w:rPr>
                <w:color w:val="000000"/>
                <w:sz w:val="20"/>
              </w:rPr>
              <w:t>30 м и 25 кг/м²</w:t>
            </w:r>
          </w:p>
        </w:tc>
      </w:tr>
      <w:tr>
        <w:trPr>
          <w:cantSplit/>
        </w:trPr>
        <w:tc>
          <w:tcPr>
            <w:tcW w:type="dxa" w:w="4986"/>
            <w:vAlign w:val="center"/>
            <w:tcMar>
              <w:top w:w="85" w:type="dxa"/>
              <w:bottom w:w="85" w:type="dxa"/>
              <w:left w:w="100" w:type="dxa"/>
              <w:right w:w="100" w:type="dxa"/>
            </w:tcMar>
            <w:shd w:fill="F1F5F7"/>
          </w:tcPr>
          <w:p>
            <w:pPr>
              <w:spacing w:after="0" w:before="0" w:line="259" w:lineRule="auto"/>
            </w:pPr>
            <w:r>
              <w:rPr>
                <w:color w:val="000000"/>
                <w:sz w:val="20"/>
              </w:rPr>
              <w:t>Плечо расчёта и анкер</w:t>
            </w:r>
          </w:p>
        </w:tc>
        <w:tc>
          <w:tcPr>
            <w:tcW w:type="dxa" w:w="5094"/>
            <w:vAlign w:val="center"/>
            <w:tcMar>
              <w:top w:w="85" w:type="dxa"/>
              <w:bottom w:w="85" w:type="dxa"/>
              <w:left w:w="100" w:type="dxa"/>
              <w:right w:w="100" w:type="dxa"/>
            </w:tcMar>
            <w:shd w:fill="F1F5F7"/>
          </w:tcPr>
          <w:p>
            <w:pPr>
              <w:spacing w:after="0" w:before="0" w:line="259" w:lineRule="auto"/>
            </w:pPr>
            <w:r>
              <w:rPr>
                <w:color w:val="000000"/>
                <w:sz w:val="20"/>
              </w:rPr>
              <w:t>230 мм и 3000 Н</w:t>
            </w:r>
          </w:p>
        </w:tc>
      </w:tr>
      <w:tr>
        <w:trPr>
          <w:cantSplit/>
        </w:trPr>
        <w:tc>
          <w:tcPr>
            <w:tcW w:type="dxa" w:w="4986"/>
            <w:vAlign w:val="center"/>
            <w:tcMar>
              <w:top w:w="85" w:type="dxa"/>
              <w:bottom w:w="85" w:type="dxa"/>
              <w:left w:w="100" w:type="dxa"/>
              <w:right w:w="100" w:type="dxa"/>
            </w:tcMar>
            <w:shd w:fill="FFFFFF"/>
          </w:tcPr>
          <w:p>
            <w:pPr>
              <w:spacing w:after="0" w:before="0" w:line="259" w:lineRule="auto"/>
            </w:pPr>
            <w:r>
              <w:rPr>
                <w:color w:val="000000"/>
                <w:sz w:val="20"/>
              </w:rPr>
              <w:t>Геометрический вынос облицовки L</w:t>
            </w:r>
          </w:p>
        </w:tc>
        <w:tc>
          <w:tcPr>
            <w:tcW w:type="dxa" w:w="5094"/>
            <w:vAlign w:val="center"/>
            <w:tcMar>
              <w:top w:w="85" w:type="dxa"/>
              <w:bottom w:w="85" w:type="dxa"/>
              <w:left w:w="100" w:type="dxa"/>
              <w:right w:w="100" w:type="dxa"/>
            </w:tcMar>
            <w:shd w:fill="FFFFFF"/>
          </w:tcPr>
          <w:p>
            <w:pPr>
              <w:spacing w:after="0" w:before="0" w:line="259" w:lineRule="auto"/>
            </w:pPr>
            <w:r>
              <w:rPr>
                <w:color w:val="000000"/>
                <w:sz w:val="20"/>
              </w:rPr>
              <w:t>230 мм, отдельно от плеча расчёта</w:t>
            </w:r>
          </w:p>
        </w:tc>
      </w:tr>
      <w:tr>
        <w:trPr>
          <w:cantSplit/>
        </w:trPr>
        <w:tc>
          <w:tcPr>
            <w:tcW w:type="dxa" w:w="4986"/>
            <w:vAlign w:val="center"/>
            <w:tcMar>
              <w:top w:w="85" w:type="dxa"/>
              <w:bottom w:w="85" w:type="dxa"/>
              <w:left w:w="100" w:type="dxa"/>
              <w:right w:w="100" w:type="dxa"/>
            </w:tcMar>
            <w:shd w:fill="F1F5F7"/>
          </w:tcPr>
          <w:p>
            <w:pPr>
              <w:spacing w:after="0" w:before="0" w:line="259" w:lineRule="auto"/>
            </w:pPr>
            <w:r>
              <w:rPr>
                <w:color w:val="000000"/>
                <w:sz w:val="20"/>
              </w:rPr>
              <w:t>Шаг осей и горизонтальных швов</w:t>
            </w:r>
          </w:p>
        </w:tc>
        <w:tc>
          <w:tcPr>
            <w:tcW w:type="dxa" w:w="5094"/>
            <w:vAlign w:val="center"/>
            <w:tcMar>
              <w:top w:w="85" w:type="dxa"/>
              <w:bottom w:w="85" w:type="dxa"/>
              <w:left w:w="100" w:type="dxa"/>
              <w:right w:w="100" w:type="dxa"/>
            </w:tcMar>
            <w:shd w:fill="F1F5F7"/>
          </w:tcPr>
          <w:p>
            <w:pPr>
              <w:spacing w:after="0" w:before="0" w:line="259" w:lineRule="auto"/>
            </w:pPr>
            <w:r>
              <w:rPr>
                <w:color w:val="000000"/>
                <w:sz w:val="20"/>
              </w:rPr>
              <w:t>608 и 605 мм</w:t>
            </w:r>
          </w:p>
        </w:tc>
      </w:tr>
      <w:tr>
        <w:trPr>
          <w:cantSplit/>
        </w:trPr>
        <w:tc>
          <w:tcPr>
            <w:tcW w:type="dxa" w:w="4986"/>
            <w:vAlign w:val="center"/>
            <w:tcMar>
              <w:top w:w="85" w:type="dxa"/>
              <w:bottom w:w="85" w:type="dxa"/>
              <w:left w:w="100" w:type="dxa"/>
              <w:right w:w="100" w:type="dxa"/>
            </w:tcMar>
            <w:shd w:fill="FFFFFF"/>
          </w:tcPr>
          <w:p>
            <w:pPr>
              <w:spacing w:after="0" w:before="0" w:line="259" w:lineRule="auto"/>
            </w:pPr>
            <w:r>
              <w:rPr>
                <w:color w:val="000000"/>
                <w:sz w:val="20"/>
              </w:rPr>
              <w:t>Старт кронштейна и зазор стыка</w:t>
            </w:r>
          </w:p>
        </w:tc>
        <w:tc>
          <w:tcPr>
            <w:tcW w:type="dxa" w:w="5094"/>
            <w:vAlign w:val="center"/>
            <w:tcMar>
              <w:top w:w="85" w:type="dxa"/>
              <w:bottom w:w="85" w:type="dxa"/>
              <w:left w:w="100" w:type="dxa"/>
              <w:right w:w="100" w:type="dxa"/>
            </w:tcMar>
            <w:shd w:fill="FFFFFF"/>
          </w:tcPr>
          <w:p>
            <w:pPr>
              <w:spacing w:after="0" w:before="0" w:line="259" w:lineRule="auto"/>
            </w:pPr>
            <w:r>
              <w:rPr>
                <w:color w:val="000000"/>
                <w:sz w:val="20"/>
              </w:rPr>
              <w:t>300 и 10 мм</w:t>
            </w:r>
          </w:p>
        </w:tc>
      </w:tr>
      <w:tr>
        <w:trPr>
          <w:cantSplit/>
        </w:trPr>
        <w:tc>
          <w:tcPr>
            <w:tcW w:type="dxa" w:w="4986"/>
            <w:vAlign w:val="center"/>
            <w:tcMar>
              <w:top w:w="85" w:type="dxa"/>
              <w:bottom w:w="85" w:type="dxa"/>
              <w:left w:w="100" w:type="dxa"/>
              <w:right w:w="100" w:type="dxa"/>
            </w:tcMar>
            <w:shd w:fill="F1F5F7"/>
          </w:tcPr>
          <w:p>
            <w:pPr>
              <w:spacing w:after="0" w:before="0" w:line="259" w:lineRule="auto"/>
            </w:pPr>
            <w:r>
              <w:rPr>
                <w:color w:val="000000"/>
                <w:sz w:val="20"/>
              </w:rPr>
              <w:t>Внешние углы</w:t>
            </w:r>
          </w:p>
        </w:tc>
        <w:tc>
          <w:tcPr>
            <w:tcW w:type="dxa" w:w="5094"/>
            <w:vAlign w:val="center"/>
            <w:tcMar>
              <w:top w:w="85" w:type="dxa"/>
              <w:bottom w:w="85" w:type="dxa"/>
              <w:left w:w="100" w:type="dxa"/>
              <w:right w:w="100" w:type="dxa"/>
            </w:tcMar>
            <w:shd w:fill="F1F5F7"/>
          </w:tcPr>
          <w:p>
            <w:pPr>
              <w:spacing w:after="0" w:before="0" w:line="259" w:lineRule="auto"/>
            </w:pPr>
            <w:r>
              <w:rPr>
                <w:color w:val="000000"/>
                <w:sz w:val="20"/>
              </w:rPr>
              <w:t>Включены, обе точки указаны явно</w:t>
            </w:r>
          </w:p>
        </w:tc>
      </w:tr>
      <w:tr>
        <w:trPr>
          <w:cantSplit/>
        </w:trPr>
        <w:tc>
          <w:tcPr>
            <w:tcW w:type="dxa" w:w="4986"/>
            <w:vAlign w:val="center"/>
            <w:tcMar>
              <w:top w:w="85" w:type="dxa"/>
              <w:bottom w:w="85" w:type="dxa"/>
              <w:left w:w="100" w:type="dxa"/>
              <w:right w:w="100" w:type="dxa"/>
            </w:tcMar>
            <w:shd w:fill="FFFFFF"/>
          </w:tcPr>
          <w:p>
            <w:pPr>
              <w:spacing w:after="0" w:before="0" w:line="259" w:lineRule="auto"/>
            </w:pPr>
            <w:r>
              <w:rPr>
                <w:color w:val="000000"/>
                <w:sz w:val="20"/>
              </w:rPr>
              <w:t>Отметки перекрытий</w:t>
            </w:r>
          </w:p>
        </w:tc>
        <w:tc>
          <w:tcPr>
            <w:tcW w:type="dxa" w:w="5094"/>
            <w:vAlign w:val="center"/>
            <w:tcMar>
              <w:top w:w="85" w:type="dxa"/>
              <w:bottom w:w="85" w:type="dxa"/>
              <w:left w:w="100" w:type="dxa"/>
              <w:right w:w="100" w:type="dxa"/>
            </w:tcMar>
            <w:shd w:fill="FFFFFF"/>
          </w:tcPr>
          <w:p>
            <w:pPr>
              <w:spacing w:after="0" w:before="0" w:line="259" w:lineRule="auto"/>
            </w:pPr>
            <w:r>
              <w:rPr>
                <w:color w:val="000000"/>
                <w:sz w:val="20"/>
              </w:rPr>
              <w:t>Выключены</w:t>
            </w:r>
          </w:p>
        </w:tc>
      </w:tr>
    </w:tbl>
    <w:p>
      <w:pPr>
        <w:spacing w:after="40"/>
      </w:pPr>
    </w:p>
    <w:p>
      <w:r>
        <w:t xml:space="preserve">Увеличьте низ окон, простенки и верх стены над последним рядом окон. Проверьте боковые стойки у всех трёх рядов, торцы исходных осей на гранях проёмов, сохранность стыковых зазоров и отсутствие дублей. Окна остаются пустыми, у обоих наружных краёв есть направляющие. Для №112 дополнительно проверьте угловые оси </w:t>
      </w:r>
      <w:r>
        <w:rPr>
          <w:b/>
        </w:rPr>
        <w:t>0/330 мм</w:t>
      </w:r>
      <w:r>
        <w:t xml:space="preserve"> слева и </w:t>
      </w:r>
      <w:r>
        <w:rPr>
          <w:b/>
        </w:rPr>
        <w:t>18000/17670 мм</w:t>
      </w:r>
      <w:r>
        <w:t xml:space="preserve"> справа, швеллеры </w:t>
      </w:r>
      <w:r>
        <w:rPr>
          <w:b/>
        </w:rPr>
        <w:t>430×100 мм</w:t>
      </w:r>
      <w:r>
        <w:t xml:space="preserve"> и свесы по 50 мм. Прежний архивный контроль №111 без новой угловой схемы давал 160 направляющих, 583 кронштейна и 12 замечаний; эти общие числа </w:t>
      </w:r>
      <w:r>
        <w:rPr>
          <w:b/>
        </w:rPr>
        <w:t>не являются эталоном №112</w:t>
      </w:r>
      <w:r>
        <w:t>. Короткие доборы имеют одну центральную опору и адресную красную пометку; это не подтверждённое закрепление. Общее количество элементов №112 запишите по фактическому результату и сверьте с ведомостью. Успешный нативный проход этого упражнения пока не выполнен.</w:t>
      </w:r>
    </w:p>
    <w:p>
      <w:r>
        <w:t>При расхождении проверочных размеров, пропущенной геометрии или отказе сначала сохраните F2 и снимок нужного места. Не переходите сразу в ручной режим: иначе будет потерян исходный пример проблемы. Предыдущая подсистема, оставшаяся на экране после отказа, не является новым успешным результатом.</w:t>
      </w:r>
    </w:p>
    <w:p>
      <w:pPr>
        <w:pStyle w:val="Heading2"/>
      </w:pPr>
      <w:r>
        <w:t>7 5 Ручной вариант и полный проход по тем же окнам</w:t>
      </w:r>
    </w:p>
    <w:p>
      <w:r>
        <w:t xml:space="preserve">На отдельной копии исходной зоны повторите ATFRAME вручную: шаги </w:t>
      </w:r>
      <w:r>
        <w:rPr>
          <w:b/>
        </w:rPr>
        <w:t>800/800 мм</w:t>
      </w:r>
      <w:r>
        <w:t xml:space="preserve">, старт </w:t>
      </w:r>
      <w:r>
        <w:rPr>
          <w:b/>
        </w:rPr>
        <w:t>300 мм</w:t>
      </w:r>
      <w:r>
        <w:t xml:space="preserve">, зазор </w:t>
      </w:r>
      <w:r>
        <w:rPr>
          <w:b/>
        </w:rPr>
        <w:t>10 мм</w:t>
      </w:r>
      <w:r>
        <w:t xml:space="preserve">, те же оси и наружные углы, геометрический вынос </w:t>
      </w:r>
      <w:r>
        <w:rPr>
          <w:b/>
        </w:rPr>
        <w:t>L=230 мм</w:t>
      </w:r>
      <w:r>
        <w:t>. Проверьте угловые оси и швеллеры по разделу 7.4. Исторические 160 направляющих, 532 кронштейна и 12 замечаний относятся к прежнему входу №111 без новой угловой схемы; к №112 эти общие количества не применяйте. Короткие доборы сохраняют одну центральную опору и пометку непроверенного закрепления. Эти ручные шаги не являются инженерным назначением для рабочего объекта.</w:t>
      </w:r>
    </w:p>
    <w:p>
      <w:r>
        <w:t xml:space="preserve">На следующей копии зоны выполните ATTILE: плита </w:t>
      </w:r>
      <w:r>
        <w:rPr>
          <w:b/>
        </w:rPr>
        <w:t>600×600 мм</w:t>
      </w:r>
      <w:r>
        <w:t xml:space="preserve">, шов </w:t>
      </w:r>
      <w:r>
        <w:rPr>
          <w:b/>
        </w:rPr>
        <w:t>10 мм</w:t>
      </w:r>
      <w:r>
        <w:t>, прямая раскладка. Проверьте, что окна свободны и крайние подрезки приемлемы. Заново постройте подсистему по этой раскладке с теми же наружными углами. Теперь оси берутся из облицовки: сверьте их положение со швами и заданными углами, а количество нарисованных элементов — с ведомостью. Архивные общие количества не используйте.</w:t>
      </w:r>
    </w:p>
    <w:p>
      <w:r>
        <w:t>Выдайте через ATFTABLE ведомости облицовки и подсистемы в DWG и XLSX. Сопоставьте несколько деталей и длин с чертежом. Сохраните и заново откройте проект; на копии измените одно окно и проверьте, что прежние данные требуют обновления. При отмене построения прежний результат должен сохраниться. Затем повторите цепочку на небольшом участке своего рабочего фасада с его исходными данными.</w:t>
      </w:r>
    </w:p>
    <w:p>
      <w:pPr>
        <w:pStyle w:val="Heading2"/>
      </w:pPr>
      <w:r>
        <w:t>7 6 Ленточные окна и низкий подоконник</w:t>
      </w:r>
    </w:p>
    <w:p>
      <w:r>
        <w:t xml:space="preserve">Эта проверка нужна перед работой на фасадах с короткими перемычками. Создайте два отдельных учебных DWG с контуром стены от </w:t>
      </w:r>
      <w:r>
        <w:rPr>
          <w:b/>
        </w:rPr>
        <w:t>0,0 до 18000,10200 мм</w:t>
      </w:r>
      <w:r>
        <w:t xml:space="preserve">. В первом начертите три ленточных окна: от </w:t>
      </w:r>
      <w:r>
        <w:rPr>
          <w:b/>
        </w:rPr>
        <w:t>1200,1200 до 16800,3000</w:t>
      </w:r>
      <w:r>
        <w:t xml:space="preserve">, от </w:t>
      </w:r>
      <w:r>
        <w:rPr>
          <w:b/>
        </w:rPr>
        <w:t>1200,3600 до 16800,5400</w:t>
      </w:r>
      <w:r>
        <w:t xml:space="preserve">, от </w:t>
      </w:r>
      <w:r>
        <w:rPr>
          <w:b/>
        </w:rPr>
        <w:t>1200,6000 до 16800,7800</w:t>
      </w:r>
      <w:r>
        <w:t xml:space="preserve">. Между окнами остаются перемычки высотой 600 мм. Во втором задайте 15 окон шириной 1500 и высотой 1800 мм: левые X — </w:t>
      </w:r>
      <w:r>
        <w:rPr>
          <w:b/>
        </w:rPr>
        <w:t>1500, 4500, 7500, 10500, 13500</w:t>
      </w:r>
      <w:r>
        <w:t xml:space="preserve">, нижние Y — </w:t>
      </w:r>
      <w:r>
        <w:rPr>
          <w:b/>
        </w:rPr>
        <w:t>500, 3500, 6500</w:t>
      </w:r>
      <w:r>
        <w:t>. Нижний подоконник имеет высоту 500 мм.</w:t>
      </w:r>
    </w:p>
    <w:p>
      <w:r>
        <w:t xml:space="preserve">Для каждого DWG создайте одну зону ATFZONE со всеми окнами. Повторите ATFRAME с ручными шагами </w:t>
      </w:r>
      <w:r>
        <w:rPr>
          <w:b/>
        </w:rPr>
        <w:t>800/800 мм</w:t>
      </w:r>
      <w:r>
        <w:t xml:space="preserve"> и затем на копии — с расчётными параметрами раздела 7.4. В обоих режимах оставьте старт </w:t>
      </w:r>
      <w:r>
        <w:rPr>
          <w:b/>
        </w:rPr>
        <w:t>300 мм</w:t>
      </w:r>
      <w:r>
        <w:t xml:space="preserve">, зазор </w:t>
      </w:r>
      <w:r>
        <w:rPr>
          <w:b/>
        </w:rPr>
        <w:t>10 мм</w:t>
      </w:r>
      <w:r>
        <w:t xml:space="preserve">, первую ось </w:t>
      </w:r>
      <w:r>
        <w:rPr>
          <w:b/>
        </w:rPr>
        <w:t>608,0</w:t>
      </w:r>
      <w:r>
        <w:t xml:space="preserve"> и наружные углы </w:t>
      </w:r>
      <w:r>
        <w:rPr>
          <w:b/>
        </w:rPr>
        <w:t>0,0</w:t>
      </w:r>
      <w:r>
        <w:t xml:space="preserve">, </w:t>
      </w:r>
      <w:r>
        <w:rPr>
          <w:b/>
        </w:rPr>
        <w:t>18000,0</w:t>
      </w:r>
      <w:r>
        <w:t xml:space="preserve">, геометрический вынос </w:t>
      </w:r>
      <w:r>
        <w:rPr>
          <w:b/>
        </w:rPr>
        <w:t>L=230 мм</w:t>
      </w:r>
      <w:r>
        <w:t>. Геометрия должна построиться целиком. Переход на старт 200 мм для прохождения теста не нужен.</w:t>
      </w:r>
    </w:p>
    <w:p>
      <w:r>
        <w:t xml:space="preserve">На каждом исходном коротком куске длиной до </w:t>
      </w:r>
      <w:r>
        <w:rPr>
          <w:b/>
        </w:rPr>
        <w:t>600 мм включительно</w:t>
      </w:r>
      <w:r>
        <w:t xml:space="preserve"> ожидается </w:t>
      </w:r>
      <w:r>
        <w:rPr>
          <w:b/>
        </w:rPr>
        <w:t>один кронштейн по центру</w:t>
      </w:r>
      <w:r>
        <w:t xml:space="preserve"> и красная пометка. Это прежнее правило расстановки, а не расчётное подтверждение такого закрепления. Программа не считает единственный кронштейн доказанной заделкой. При перегрузке другого куска пометка также остаётся; отрицательная проверка не исчезает из отчёта.</w:t>
      </w:r>
    </w:p>
    <w:p>
      <w:pPr>
        <w:ind w:left="317" w:hanging="317"/>
      </w:pPr>
      <w:r>
        <w:t xml:space="preserve">1. Откройте </w:t>
      </w:r>
      <w:r>
        <w:rPr>
          <w:b/>
        </w:rPr>
        <w:t>F2</w:t>
      </w:r>
      <w:r>
        <w:t xml:space="preserve">. Найдите список замечаний с зоной, координатами куска и причиной. Сверьте два-три указанных места с чертежом. У направляющих из блоков дополнительно появляется красный кружок на слое </w:t>
      </w:r>
      <w:r>
        <w:rPr>
          <w:b/>
        </w:rPr>
        <w:t>_01_ПС_ПРОВЕРИТЬ</w:t>
      </w:r>
      <w:r>
        <w:t>.</w:t>
      </w:r>
    </w:p>
    <w:p>
      <w:pPr>
        <w:ind w:left="317" w:hanging="317"/>
      </w:pPr>
      <w:r>
        <w:t xml:space="preserve">2. Выполните </w:t>
      </w:r>
      <w:r>
        <w:rPr>
          <w:b/>
        </w:rPr>
        <w:t>ATFTABLE → Подсистема → Элементы</w:t>
      </w:r>
      <w:r>
        <w:t>, выведите ведомость в DWG и Excel. Найдите те же замечания. Кружки служат только для проверки и не должны добавляться в количество материалов; красный цвет не является цветом изделия.</w:t>
      </w:r>
    </w:p>
    <w:p>
      <w:pPr>
        <w:ind w:left="317" w:hanging="317"/>
      </w:pPr>
      <w:r>
        <w:t>3. Сохраните DWG с родным JSON, закройте и откройте заново. Повторите ведомость: координаты и причины должны сохраниться. Для проверки обновления кляммеров используйте отдельную копию с ATTILE и сравните замечания до и после режима «только кляммеры».</w:t>
      </w:r>
    </w:p>
    <w:p>
      <w:pPr>
        <w:ind w:left="317" w:hanging="317"/>
      </w:pPr>
      <w:r>
        <w:t>4. Запишите время ATFRAME и ATFTABLE, номер выпуска и замечания. Если исчезла часть фасада, команда отказала из-за такого короткого куска либо список потерялся после открытия, сохраните исходник и F2 по главе 18. Не принимайте результат с красными кусками как полностью проверенный расчёт.</w:t>
      </w:r>
    </w:p>
    <w:p>
      <w:pPr>
        <w:pStyle w:val="Heading2"/>
      </w:pPr>
      <w:r>
        <w:t>7 7 Хлыст 3 м и короткий добор</w:t>
      </w:r>
    </w:p>
    <w:p>
      <w:r>
        <w:t xml:space="preserve">На отдельной учебной прямоугольной стене обеспечьте непрерывный участок направляющей </w:t>
      </w:r>
      <w:r>
        <w:rPr>
          <w:b/>
        </w:rPr>
        <w:t>3300 мм</w:t>
      </w:r>
      <w:r>
        <w:t xml:space="preserve">. Задайте длину хлыста </w:t>
      </w:r>
      <w:r>
        <w:rPr>
          <w:b/>
        </w:rPr>
        <w:t>3000 мм</w:t>
      </w:r>
      <w:r>
        <w:t xml:space="preserve">, зазор </w:t>
      </w:r>
      <w:r>
        <w:rPr>
          <w:b/>
        </w:rPr>
        <w:t>10 мм</w:t>
      </w:r>
      <w:r>
        <w:t xml:space="preserve">, старт кронштейна </w:t>
      </w:r>
      <w:r>
        <w:rPr>
          <w:b/>
        </w:rPr>
        <w:t>300 мм</w:t>
      </w:r>
      <w:r>
        <w:t xml:space="preserve"> и выключите отметки перекрытий. Выполните ATFRAME и измерьте результат: </w:t>
      </w:r>
      <w:r>
        <w:rPr>
          <w:b/>
        </w:rPr>
        <w:t>3000 + 10 + 290 мм</w:t>
      </w:r>
      <w:r>
        <w:t>. Последний кусок не делится поровну с предыдущим.</w:t>
      </w:r>
    </w:p>
    <w:p>
      <w:r>
        <w:t xml:space="preserve">Добор 290 мм получает </w:t>
      </w:r>
      <w:r>
        <w:rPr>
          <w:b/>
        </w:rPr>
        <w:t>один кронштейн по центру</w:t>
      </w:r>
      <w:r>
        <w:t xml:space="preserve"> и красную адресную пометку. В расчётном режиме результат остаётся </w:t>
      </w:r>
      <w:r>
        <w:rPr>
          <w:b/>
        </w:rPr>
        <w:t>partial</w:t>
      </w:r>
      <w:r>
        <w:t>, а не положительным расчётом всего фасада. Проверьте причину и координаты в F2 и ATFTABLE → Подсистема → Элементы, включая Excel. Сохраните DWG с JSON и повторите ведомость после открытия. Обычный фасад должен построиться целиком; отказ из-за такого добора или оставшаяся старая геометрия не считаются успехом.</w:t>
      </w:r>
    </w:p>
    <w:p>
      <w:r>
        <w:t>Правило действует на каждом непрерывном участке после учёта окон и контура; явные отметки перекрытий сохраняются. Если конец попал в очередной зазор, нулевой или отрицательный добор не создаётся. Отрицательный и другой недопустимый зазор отклоняются без зависания. Для инженерного применения крепление короткого куска подтверждают отдельно.</w:t>
      </w:r>
    </w:p>
    <w:p>
      <w:bookmarkStart w:id="385" w:name="chapter_9"/>
      <w:pPr>
        <w:pStyle w:val="Heading1"/>
      </w:pPr>
      <w:r>
        <w:t>8 Шаг 4 построить ведомость ATFTABLE</w:t>
      </w:r>
      <w:bookmarkEnd w:id="385"/>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и скопированная зона требуют восстановления по главе 10. Для старой зоны без контрольного снимка сначала выполните ATFZONEACCEPT по разделу 10.3, затем повторите зависимые результаты. Совпадение площади не отменяет проверку формы и положения контуров.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Точка новой таблицы переводится из текущей ПСК в мировые координаты. Таблица сохраняет прежнее направление; автоматически вслед за ПСК она не поворачивается. Смена ПСК после выбора точки вызывает отказ до записи. При «Обновить» используется прежнее место таблицы, новую точку задавать не нужно.</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упражнения 7.1–7.3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Если ATFRAME построил подсистему с красными кусками, ведомость сохраняет их в составе и выводит замечания с координатами и причинами, в том числе в Excel. Сверьте этот список с F2 и чертежом. Красные кружки у блоков не учитываются как детали. Наличие строк ведомости не означает, что отмеченные куски прошли расчёт.</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Замечания к сохранённым кускам также остаются. Это прямо описывается в сообщениях;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В режиме расчёта свободные концы участвуют в поперечной проверке отдельного куска. Эта проверка не подтверждает фактическую передачу усилий и монтажное закрепление; их сверяют с проектным узлом.</w:t>
      </w:r>
    </w:p>
    <w:p>
      <w:r>
        <w:t xml:space="preserve">Один физический кронштейн, попавший в кандидаты нескольких отдельных кусков ГП, получает адресное предупреждение </w:t>
      </w:r>
      <w:r>
        <w:rPr>
          <w:b/>
        </w:rPr>
        <w:t>«Монтажная принадлежность не определена»</w:t>
      </w:r>
      <w:r>
        <w:t>. В строках затронутых направляющих показано число общих кандидатов-кронштейнов; в предупреждениях отчёта — ID кронштейна и всех связанных направляющих. Это неоднозначность геометрической схемы, а не установленная ошибка монтажа или назначенная опора. Сопоставьте перечисленные детали с проектным узлом; не удаляйте их ради исчезновения сообщения.</w:t>
      </w:r>
    </w:p>
    <w:p>
      <w:r>
        <w:t xml:space="preserve">Сообщение </w:t>
      </w:r>
      <w:r>
        <w:rPr>
          <w:b/>
        </w:rPr>
        <w:t>«ID есть в проверенном составе, но отсутствует среди ссылок кандидатов опор этого паспорта»</w:t>
      </w:r>
      <w:r>
        <w:t xml:space="preserve"> указывает ID кронштейна и его зону. Сверьте их с проектным узлом. Кронштейн остаётся в ведомости и не объявляется лишним; наличие и тип фактического крепления неизвестны. Ручные детали и результаты без доступного паспорта по этому признаку не оцениваются.</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Даже нулевой зазор между соседними кусками не объединяет их в непрерывный элемент.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 Такое предупреждение помогает найти место для проверки; оно не заменяет расчёт соединений и подбор монтажного варианта.</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537" w:name="chapter_10"/>
      <w:pPr>
        <w:pStyle w:val="Heading1"/>
      </w:pPr>
      <w:r>
        <w:t>9 Как проверять весь фасад не запутавшись в слоях</w:t>
      </w:r>
      <w:bookmarkEnd w:id="537"/>
    </w:p>
    <w:p>
      <w:pPr>
        <w:keepNext/>
        <w:jc w:val="center"/>
      </w:pPr>
      <w:r>
        <w:drawing>
          <wp:inline xmlns:a="http://schemas.openxmlformats.org/drawingml/2006/main" xmlns:pic="http://schemas.openxmlformats.org/drawingml/2006/picture">
            <wp:extent cx="6400800" cy="3254644"/>
            <wp:docPr id="10" name="Picture 10"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3"/>
                    <a:stretch>
                      <a:fillRect/>
                    </a:stretch>
                  </pic:blipFill>
                  <pic:spPr>
                    <a:xfrm>
                      <a:off x="0" y="0"/>
                      <a:ext cx="6400800" cy="3254644"/>
                    </a:xfrm>
                    <a:prstGeom prst="rect"/>
                  </pic:spPr>
                </pic:pic>
              </a:graphicData>
            </a:graphic>
          </wp:inline>
        </w:drawing>
      </w:r>
    </w:p>
    <w:p>
      <w:pPr>
        <w:pStyle w:val="Caption"/>
        <w:jc w:val="center"/>
      </w:pPr>
      <w:r>
        <w:t>Рисунок 10.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554" w:name="chapter_11"/>
      <w:pPr>
        <w:pStyle w:val="Heading1"/>
      </w:pPr>
      <w:r>
        <w:t>10 Изменения повторный запуск и отмена</w:t>
      </w:r>
      <w:bookmarkEnd w:id="554"/>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Для старой зоны без контрольного снимка сначала используйте «Принять старую зону» по разделу 10.3. Если исходные связи утрачены, потребуется восстановить зону.</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Принять старую зону без пересоздания</w:t>
      </w:r>
    </w:p>
    <w:p>
      <w:r>
        <w:t>Этот путь нужен для зоны, сделанной прежней версией программы и ещё не имеющей контрольного снимка. Он сохраняет контуры, штриховку, марку и номер зоны. Зона с уже существующим, но повреждённым снимком не превращается таким способом в «старую»; скопированные и неоднозначные связи также требуют восстановления.</w:t>
      </w:r>
    </w:p>
    <w:p>
      <w:pPr>
        <w:ind w:left="317" w:hanging="317"/>
      </w:pPr>
      <w:r>
        <w:t xml:space="preserve">1. Сохраните резервную копию пары DWG и её родного файла </w:t>
      </w:r>
      <w:r>
        <w:rPr>
          <w:rFonts w:ascii="DejaVu Sans Mono" w:hAnsi="DejaVu Sans Mono"/>
          <w:sz w:val="19"/>
        </w:rPr>
        <w:t>_fzones.json</w:t>
      </w:r>
      <w:r>
        <w:t xml:space="preserve">. Если через «Сохранить как» создан </w:t>
      </w:r>
      <w:r>
        <w:rPr>
          <w:rFonts w:ascii="DejaVu Sans Mono" w:hAnsi="DejaVu Sans Mono"/>
          <w:sz w:val="19"/>
        </w:rPr>
        <w:t>Pilot_copy.dwg</w:t>
      </w:r>
      <w:r>
        <w:t xml:space="preserve">, рядом положите копию прежнего JSON под именем </w:t>
      </w:r>
      <w:r>
        <w:rPr>
          <w:rFonts w:ascii="DejaVu Sans Mono" w:hAnsi="DejaVu Sans Mono"/>
          <w:sz w:val="19"/>
        </w:rPr>
        <w:t>Pilot_copy_fzones.json</w:t>
      </w:r>
      <w:r>
        <w:t>. Содержимое JSON вручную не меняйте; исходную пару сохраните отдельно. Если JSON утрачен, сначала восстановите его из своей резервной копии.</w:t>
      </w:r>
    </w:p>
    <w:p>
      <w:pPr>
        <w:ind w:left="317" w:hanging="317"/>
      </w:pPr>
      <w:r>
        <w:t xml:space="preserve">2. Нажмите </w:t>
      </w:r>
      <w:r>
        <w:rPr>
          <w:b/>
        </w:rPr>
        <w:t>«Принять старую зону»</w:t>
      </w:r>
      <w:r>
        <w:t xml:space="preserve"> или введите </w:t>
      </w:r>
      <w:r>
        <w:rPr>
          <w:b/>
        </w:rPr>
        <w:t>ATFZONEACCEPT</w:t>
      </w:r>
      <w:r>
        <w:t>. Выберите марку либо штриховку нужной старой зоны.</w:t>
      </w:r>
    </w:p>
    <w:p>
      <w:pPr>
        <w:ind w:left="317" w:hanging="317"/>
      </w:pPr>
      <w:r>
        <w:t>3. Прочитайте номер зоны и пересчитанную площадь. Сопоставьте с текущими контурами и окнами. Команда принимает именно их нынешнее положение как исходное; она не возвращает старую форму стены.</w:t>
      </w:r>
    </w:p>
    <w:p>
      <w:pPr>
        <w:ind w:left="317" w:hanging="317"/>
      </w:pPr>
      <w:r>
        <w:t xml:space="preserve">4. В ответ на запрос выберите </w:t>
      </w:r>
      <w:r>
        <w:rPr>
          <w:b/>
        </w:rPr>
        <w:t>«Принять»</w:t>
      </w:r>
      <w:r>
        <w:t xml:space="preserve">. Enter с вариантом по умолчанию </w:t>
      </w:r>
      <w:r>
        <w:rPr>
          <w:b/>
        </w:rPr>
        <w:t>«Отмена»</w:t>
      </w:r>
      <w:r>
        <w:t>, как и Esc, оставляет данные без изменений.</w:t>
      </w:r>
    </w:p>
    <w:p>
      <w:pPr>
        <w:ind w:left="317" w:hanging="317"/>
      </w:pPr>
      <w:r>
        <w:t>5. После принятия повторите нужную раскладку, ATFRAME и ведомости. Старые плитки, каркас, линии откосов и таблицы автоматически не перестраиваются и не получают подтверждения.</w:t>
      </w:r>
    </w:p>
    <w:p>
      <w:r>
        <w:t>При конфликте файлов или изменении исходников во время подтверждения повторите операцию после проверки. Если программа сообщает о восстановлении JSON из резервного файла, выполните именно это действие до продолжения. Undo возвращает изменения внутри DWG; внешний JSON в него не входит. После отката восстановите согласованную пару файлов либо повторно сохраните актуальные данные зоны.</w:t>
      </w:r>
    </w:p>
    <w:p>
      <w:pPr>
        <w:pStyle w:val="Heading2"/>
      </w:pPr>
      <w:r>
        <w:t>10 4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это старая зона без снимка, сначала выполните раздел 10.3. Если изменена геометрия уже современной зоны,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5 Старая схема линий и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6 Отмена и возврат</w:t>
      </w:r>
    </w:p>
    <w:p>
      <w:r>
        <w:t xml:space="preserve">Самый однозначный способ отказаться от генерации — кнопка «Отмена» в окне параметров до запуска. В ATFRAME при вводе ручных осей стоек, внешних углов и отметок перекрытий Enter завершает список и продолжает работу, а Esc отменяет команду до расчёта и замены прежних объектов, даже если часть точек уже указана.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615" w:name="chapter_12"/>
      <w:pPr>
        <w:pStyle w:val="Heading1"/>
      </w:pPr>
      <w:r>
        <w:t>11 Второе упражнение фронтон со скатами</w:t>
      </w:r>
      <w:bookmarkEnd w:id="615"/>
    </w:p>
    <w:p>
      <w:pPr>
        <w:keepNext/>
        <w:jc w:val="center"/>
      </w:pPr>
      <w:r>
        <w:drawing>
          <wp:inline xmlns:a="http://schemas.openxmlformats.org/drawingml/2006/main" xmlns:pic="http://schemas.openxmlformats.org/drawingml/2006/picture">
            <wp:extent cx="5651601" cy="5806439"/>
            <wp:docPr id="11" name="Picture 11"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4"/>
                    <a:stretch>
                      <a:fillRect/>
                    </a:stretch>
                  </pic:blipFill>
                  <pic:spPr>
                    <a:xfrm>
                      <a:off x="0" y="0"/>
                      <a:ext cx="5651601" cy="5806439"/>
                    </a:xfrm>
                    <a:prstGeom prst="rect"/>
                  </pic:spPr>
                </pic:pic>
              </a:graphicData>
            </a:graphic>
          </wp:inline>
        </w:drawing>
      </w:r>
    </w:p>
    <w:p>
      <w:pPr>
        <w:pStyle w:val="Caption"/>
        <w:jc w:val="center"/>
      </w:pPr>
      <w:r>
        <w:t>Рисунок 11. Фронтон с раскладкой</w:t>
      </w:r>
    </w:p>
    <w:p>
      <w:r>
        <w:t xml:space="preserve">Скачайте </w:t>
      </w:r>
      <w:hyperlink r:id="rId25">
        <w:r>
          <w:rPr>
            <w:color w:val="245D83"/>
          </w:rPr>
          <w:t>исходник фронтона 02_source_gable.dxf</w:t>
        </w:r>
      </w:hyperlink>
      <w:r>
        <w:t xml:space="preserve">, откройте его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631" w:name="chapter_13"/>
      <w:pPr>
        <w:pStyle w:val="Heading1"/>
      </w:pPr>
      <w:r>
        <w:t>12 ATTILE справочник режимов после первого урока</w:t>
      </w:r>
      <w:bookmarkEnd w:id="631"/>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В выпуске 108 исправлена обработка штриховки прямоугольной плитки, созданной по границе из отдельных отрезков.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667" w:name="chapter_14"/>
      <w:pPr>
        <w:pStyle w:val="Heading1"/>
      </w:pPr>
      <w:r>
        <w:t>13 ATFRAME какие режимы выбирать</w:t>
      </w:r>
      <w:bookmarkEnd w:id="667"/>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Вертикальная система и окна.</w:t>
      </w:r>
      <w:r>
        <w:t xml:space="preserve"> Само наличие окон больше не является причиной общего отказа. Каждый отдельный кусок профиля проверяется по реальному положению его опор, длинам пролётов и свободным концам. Рассчитываются в том числе куски с двумя опорами и одним пролётом, а также куски с разным числом пролётов на одном фасаде. Соседние куски через стык не считаются одним непрерывным профилем.</w:t>
      </w:r>
    </w:p>
    <w:p>
      <w:r>
        <w:t>Если отдельный кусок не проходит проверку, программа пробует локально уменьшить шаг кронштейнов в пределах существующего подбора, сохраняя профиль и отступы от торцов. Поэтому на таком участке опор может быть больше, чем следовало бы из общего шага. Общая с соседним куском опора не переносится. Если допустимого варианта нет, геометрия строится, а этот кусок выделяется красным. В F2 и ведомости подсистемы сохраняются место и нарушенные проверки. Проверяйте эти данные по проекту; снижение нагрузки ради исчезновения пометки неверно.</w:t>
      </w:r>
    </w:p>
    <w:p>
      <w:r>
        <w:rPr>
          <w:b/>
        </w:rPr>
        <w:t>Короткие остатки и исходные перемычки.</w:t>
      </w:r>
      <w:r>
        <w:t xml:space="preserve"> Непрерывный профиль режется снизу на хлысты заданной длины, стыковой зазор и добор. Для 3300 мм при хлысте 3000 и зазоре 10 получается 3000 + 10 + 290 мм. Последние два куска не уравниваются; заданные отметки перекрытий сохраняются. Добор или самостоятельный участок под окном/в перемычке длиной до двух торцевых отступов включительно получает один кронштейн по центру. При старте 300 мм это длина до 600 мм включительно. Он строится в обоих режимах и помечается красным как непроверенный. Старт 300 мм автоматически не меняется; другой отступ задают по проектному решению.</w:t>
      </w:r>
    </w:p>
    <w:p>
      <w:r>
        <w:rPr>
          <w:b/>
        </w:rPr>
        <w:t>Как понимать итог.</w:t>
      </w:r>
      <w:r>
        <w:t xml:space="preserve"> Ручной режим строит геометрию без расчёта несущей способности. В расчётном режиме итог с локальными замечаниями означает частичный результат проверки; в техническом отчёте это </w:t>
      </w:r>
      <w:r>
        <w:rPr>
          <w:rFonts w:ascii="DejaVu Sans Mono" w:hAnsi="DejaVu Sans Mono"/>
          <w:sz w:val="19"/>
        </w:rPr>
        <w:t>partial</w:t>
      </w:r>
      <w:r>
        <w:t>. Непроверенные куски и перегрузки перечислены отдельно, отрицательные проверки сохраняются. Некорректные исходные данные, неподдержанная общая схема или отсутствие обязательных характеристик по-прежнему могут остановить команду целиком. Красная пометка конкретного куска сама по себе такого общего отказа не вызывает.</w:t>
      </w:r>
    </w:p>
    <w:p>
      <w:r>
        <w:t xml:space="preserve">Успех этой проверки означает, что пройдена реализованная проверка поперечной нагрузки на отдельные куски. Распределение собственного веса, несущие и подвижные опоры, передача усилий через соединения и крепёж всего узла требуют отдельного инженерного подтверждения. Для геометрической проверки опор используйте </w:t>
      </w:r>
      <w:r>
        <w:rPr>
          <w:b/>
        </w:rPr>
        <w:t>ATFTABLE → Подсистема → Соединения</w:t>
      </w:r>
      <w:r>
        <w:t xml:space="preserve"> по разделу 8.9.</w:t>
      </w:r>
    </w:p>
    <w:p>
      <w:r>
        <w:rPr>
          <w:b/>
        </w:rPr>
        <w:t>Межэтажная система.</w:t>
      </w:r>
      <w:r>
        <w:t xml:space="preserve"> Автоматический расчёт пока недоступен: схема опор и соединений НСП требует отдельной реализации и подтверждения. Ручное построение доступно по проектным параметрам; оно не подтверждает несущую способность. Замечания к отдельным построенным кускам нужно проверить по проектной схеме.</w:t>
      </w:r>
    </w:p>
    <w:p>
      <w:r>
        <w:rPr>
          <w:b/>
        </w:rPr>
        <w:t>Ортогональная система.</w:t>
      </w:r>
      <w:r>
        <w:t xml:space="preserve"> Проверяется геометрия опор вертикальных кусков и ограниченная модель этих кусков. Горизонтальные элементы и соединения не становятся проверенной совместной пространственной системой. Не переносите результат расчёта вертикального профиля на весь ортогональный каркас.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w:t>
      </w:r>
    </w:p>
    <w:p>
      <w:r>
        <w:t>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к проекту.</w:t>
      </w:r>
    </w:p>
    <w:p>
      <w:pPr>
        <w:pStyle w:val="Heading2"/>
      </w:pPr>
      <w:r>
        <w:t>ATFNODE справочная схема слоёв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 xml:space="preserve">В разделе </w:t>
      </w:r>
      <w:r>
        <w:rPr>
          <w:b/>
        </w:rPr>
        <w:t>«Номинальные базы по размерным линиям альбома»</w:t>
      </w:r>
      <w:r>
        <w:t xml:space="preserve"> показана уже определённая часть цепи. Она относится к плоской недеформированной схеме узла 4.2.1: КР2 прилегает к одной паронитовой прокладке ПП номинальной толщиной 2 мм, а ПП — к основанию. Дополнительных подкладок и зазоров нет; сжатие ПП, неровности, допуски и деформации здесь не вычисляются.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582"/>
        <w:gridCol w:w="4498"/>
      </w:tblGrid>
      <w:tr>
        <w:trPr>
          <w:cantSplit/>
          <w:tblHeader/>
        </w:trPr>
        <w:tc>
          <w:tcPr>
            <w:tcW w:type="dxa" w:w="5582"/>
            <w:vAlign w:val="center"/>
            <w:tcMar>
              <w:top w:w="85" w:type="dxa"/>
              <w:bottom w:w="85" w:type="dxa"/>
              <w:left w:w="100" w:type="dxa"/>
              <w:right w:w="100" w:type="dxa"/>
            </w:tcMar>
            <w:shd w:fill="23485F"/>
          </w:tcPr>
          <w:p>
            <w:pPr>
              <w:spacing w:after="0" w:before="0" w:line="259" w:lineRule="auto"/>
            </w:pPr>
            <w:r>
              <w:rPr>
                <w:b/>
                <w:color w:val="FFFFFF"/>
                <w:sz w:val="20"/>
              </w:rPr>
              <w:t>Номинальная база</w:t>
            </w:r>
          </w:p>
        </w:tc>
        <w:tc>
          <w:tcPr>
            <w:tcW w:type="dxa" w:w="4498"/>
            <w:vAlign w:val="center"/>
            <w:tcMar>
              <w:top w:w="85" w:type="dxa"/>
              <w:bottom w:w="85" w:type="dxa"/>
              <w:left w:w="100" w:type="dxa"/>
              <w:right w:w="100" w:type="dxa"/>
            </w:tcMar>
            <w:shd w:fill="23485F"/>
          </w:tcPr>
          <w:p>
            <w:pPr>
              <w:spacing w:after="0" w:before="0" w:line="259" w:lineRule="auto"/>
            </w:pPr>
            <w:r>
              <w:rPr>
                <w:b/>
                <w:color w:val="FFFFFF"/>
                <w:sz w:val="20"/>
              </w:rPr>
              <w:t>Координата x наружу от основания, мм</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Основание</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0</w:t>
            </w:r>
          </w:p>
        </w:tc>
      </w:tr>
      <w:tr>
        <w:trPr>
          <w:cantSplit/>
        </w:trPr>
        <w:tc>
          <w:tcPr>
            <w:tcW w:type="dxa" w:w="5582"/>
            <w:vAlign w:val="center"/>
            <w:tcMar>
              <w:top w:w="85" w:type="dxa"/>
              <w:bottom w:w="85" w:type="dxa"/>
              <w:left w:w="100" w:type="dxa"/>
              <w:right w:w="100" w:type="dxa"/>
            </w:tcMar>
            <w:shd w:fill="F1F5F7"/>
          </w:tcPr>
          <w:p>
            <w:pPr>
              <w:spacing w:after="0" w:before="0" w:line="259" w:lineRule="auto"/>
            </w:pPr>
            <w:r>
              <w:rPr>
                <w:color w:val="000000"/>
                <w:sz w:val="20"/>
              </w:rPr>
              <w:t>Наружная поверхность ПП и опорная поверхность КР2</w:t>
            </w:r>
          </w:p>
        </w:tc>
        <w:tc>
          <w:tcPr>
            <w:tcW w:type="dxa" w:w="4498"/>
            <w:vAlign w:val="center"/>
            <w:tcMar>
              <w:top w:w="85" w:type="dxa"/>
              <w:bottom w:w="85" w:type="dxa"/>
              <w:left w:w="100" w:type="dxa"/>
              <w:right w:w="100" w:type="dxa"/>
            </w:tcMar>
            <w:shd w:fill="F1F5F7"/>
          </w:tcPr>
          <w:p>
            <w:pPr>
              <w:spacing w:after="0" w:before="0" w:line="259" w:lineRule="auto"/>
            </w:pPr>
            <w:r>
              <w:rPr>
                <w:color w:val="000000"/>
                <w:sz w:val="20"/>
              </w:rPr>
              <w:t>2</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Свободный торец КР2</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2 + L КР2</w:t>
            </w:r>
          </w:p>
        </w:tc>
      </w:tr>
    </w:tbl>
    <w:p>
      <w:pPr>
        <w:spacing w:after="40"/>
      </w:pPr>
    </w:p>
    <w:p>
      <w:r>
        <w:t xml:space="preserve">При выбранной длине КР2 </w:t>
      </w:r>
      <w:r>
        <w:rPr>
          <w:b/>
        </w:rPr>
        <w:t>50 мм</w:t>
      </w:r>
      <w:r>
        <w:t xml:space="preserve"> номинальный торец находится на </w:t>
      </w:r>
      <w:r>
        <w:rPr>
          <w:b/>
        </w:rPr>
        <w:t>52 мм</w:t>
      </w:r>
      <w:r>
        <w:t xml:space="preserve">, при </w:t>
      </w:r>
      <w:r>
        <w:rPr>
          <w:b/>
        </w:rPr>
        <w:t>350 мм</w:t>
      </w:r>
      <w:r>
        <w:t xml:space="preserve"> — на </w:t>
      </w:r>
      <w:r>
        <w:rPr>
          <w:b/>
        </w:rPr>
        <w:t>352 мм</w:t>
      </w:r>
      <w:r>
        <w:t>. Размер L на листе 3.2.1 / PDF 6 уже отсчитан от наружной опорной поверхности лапки: толщину металла повторно не прибавляют. Толщина ПП взята с листа 3.2.2 / PDF 7. Эти координаты не являются положением ГП или наружной облицовки и не подтверждают фактическую установку. Число 2 мм также не выбирает типоразмер, контур или отверстие прокладки.</w:t>
      </w:r>
    </w:p>
    <w:p>
      <w:r>
        <w:t xml:space="preserve">Собственная длина УК на листе 3.3 / PDF 8 измерена от свободного торца до наружной стороны отогнутой лапки. Поэтому отчёт показывает </w:t>
      </w:r>
      <w:r>
        <w:rPr>
          <w:b/>
        </w:rPr>
        <w:t>x пятки УК = 2 + L КР2 + L УК − h</w:t>
      </w:r>
      <w:r>
        <w:t>. Здесь h — знаковая разность координат свободных торцов КР2 и УК. При положительном частичном вложении она описывает продольное перекрытие габаритов, но не разрешённую рабочую длину соединения. Число h, его допустимые пределы и положение УК пока не определены. Координату ближайшей поверхности ГП нельзя подставлять вместо координаты пятки УК.</w:t>
      </w:r>
    </w:p>
    <w:p>
      <w:r>
        <w:t xml:space="preserve">В списке остаются семь монтажных зависимостей. Первые две теперь </w:t>
      </w:r>
      <w:r>
        <w:rPr>
          <w:b/>
        </w:rPr>
        <w:t>частично подтверждены</w:t>
      </w:r>
      <w:r>
        <w:t xml:space="preserve"> по номинальной схеме; их применимость к фактической установке и продолжение цепи остаются отдельными вопросами:</w:t>
      </w:r>
    </w:p>
    <w:p>
      <w:pPr>
        <w:ind w:left="317" w:hanging="317"/>
      </w:pPr>
      <w:r>
        <w:t>• положение монтажной базы КР2 относительно стены — номинально определено;</w:t>
      </w:r>
    </w:p>
    <w:p>
      <w:pPr>
        <w:ind w:left="317" w:hanging="317"/>
      </w:pPr>
      <w:r>
        <w:t>• базы длины L кронштейна КР2 — номинальный торец определён;</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В том же альбоме на PDF 34, 37, 44 и 46 есть минимум 30 мм для пары КР2–УК в других типах системы. Это подтверждённые аналоги, но не установленное правило пилота 4.2.1: программа не назначает по ним h и не вычисляет допустимый ход как L УК − 30 мм.</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номинальный торец КР2 и оставшиеся неизвестные связи;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На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проверка может сообщить, что прежняя схема создана другой версией алгоритма.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схемы используйте ATFNODE. Это ограничение схемы не распространяется на COPY библиотечных динамических вставок из следующего подраздела.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Библиотечный динамический узел отдельно от ATFNODE</w:t>
      </w:r>
    </w:p>
    <w:p>
      <w:r>
        <w:t xml:space="preserve">С №112 команды библиотеки принимают подготовленный </w:t>
      </w:r>
      <w:r>
        <w:rPr>
          <w:b/>
        </w:rPr>
        <w:t>нативный динамический блок</w:t>
      </w:r>
      <w:r>
        <w:t xml:space="preserve"> со штатными свойствами и действиями AutoCAD. ATFNODE остаётся справочным снимком слоёв. Библиотечная вставка не обязана быть зоной ATFZONE и не получает автоматически параметры ATFPROJECT. Первый пилот — один учебный узел Вектор-1 2015, тип 1, 4.2.1, КР2–ПП–УК–ГП; массовая библиотека ещё не выпущена.</w:t>
      </w:r>
    </w:p>
    <w:p>
      <w:r>
        <w:rPr>
          <w:b/>
        </w:rPr>
        <w:t>Готовый нативный DWG и успешный живой проход пока не получены.</w:t>
      </w:r>
      <w:r>
        <w:t xml:space="preserve"> Установленные DLL дают команды импорта/редактирования/проверки, но сами не превращают PDF или обычный блок в динамический. Авторский LISP передаётся отдельно в закрытом тестовом комплекте; приватная геометрия и альбомные изображения в это руководство не включены. Создание первого DWG проверяется в полном AutoCAD 2024 Windows. Программные тесты не исполняют его нативный вычислитель.</w:t>
      </w:r>
    </w:p>
    <w:p>
      <w:pPr>
        <w:pStyle w:val="Heading3"/>
      </w:pPr>
      <w:r>
        <w:t>Подготовить первый библиотечный DWG</w:t>
      </w:r>
    </w:p>
    <w:p>
      <w:pPr>
        <w:ind w:left="317" w:hanging="317"/>
      </w:pPr>
      <w:r>
        <w:t xml:space="preserve">1. Распакуйте отдельно переданный закрытый тестовый ZIP; в нём находятся согласованный LISP и инструкция узла. Нужна редакция автора </w:t>
      </w:r>
      <w:r>
        <w:rPr>
          <w:b/>
        </w:rPr>
        <w:t>2026-10-08.2</w:t>
      </w:r>
      <w:r>
        <w:t xml:space="preserve">. Используйте </w:t>
      </w:r>
      <w:r>
        <w:rPr>
          <w:b/>
        </w:rPr>
        <w:t>новый пустой, ещё не изменённый и не сохранённый DWG</w:t>
      </w:r>
      <w:r>
        <w:t>; редактор блока должен быть закрыт. Для проверки нестандартных стилей сначала подготовьте DWT, затем начните из него новый чертёж.</w:t>
      </w:r>
    </w:p>
    <w:p>
      <w:pPr>
        <w:ind w:left="317" w:hanging="317"/>
      </w:pPr>
      <w:r>
        <w:t xml:space="preserve">2. Выполните </w:t>
      </w:r>
      <w:r>
        <w:rPr>
          <w:b/>
        </w:rPr>
        <w:t>APPLOAD</w:t>
      </w:r>
      <w:r>
        <w:t xml:space="preserve"> и загрузите LISP с обычными настройками доверия AutoCAD. Проверьте редакцию автора в F2. Нужен Unicode AutoLISP: LISPSYS 1 или 2; если его приходится менять, перезапустите AutoCAD до начала теста. Защита загрузки не отключается.</w:t>
      </w:r>
    </w:p>
    <w:p>
      <w:pPr>
        <w:ind w:left="317" w:hanging="317"/>
      </w:pPr>
      <w:r>
        <w:t xml:space="preserve">3. Введите </w:t>
      </w:r>
      <w:r>
        <w:rPr>
          <w:b/>
        </w:rPr>
        <w:t>ATFNATIVEBUILD</w:t>
      </w:r>
      <w:r>
        <w:t xml:space="preserve">, выберите </w:t>
      </w:r>
      <w:r>
        <w:rPr>
          <w:b/>
        </w:rPr>
        <w:t>новое</w:t>
      </w:r>
      <w:r>
        <w:t xml:space="preserve"> имя DWG. Существующий файл не перезаписывается. Команда создаёт штатные параметры/действия и пять вставок, проверяет геометрию, размеры и марки при изменении трёх и сохранности двух; только затем маркирует совместимость и сохраняет.</w:t>
      </w:r>
    </w:p>
    <w:p>
      <w:pPr>
        <w:ind w:left="317" w:hanging="317"/>
      </w:pPr>
      <w:r>
        <w:t xml:space="preserve">4. Сохраните полный F2. При ошибке прочитайте </w:t>
      </w:r>
      <w:r>
        <w:rPr>
          <w:b/>
        </w:rPr>
        <w:t>AFN STAGE</w:t>
      </w:r>
      <w:r>
        <w:t xml:space="preserve">, </w:t>
      </w:r>
      <w:r>
        <w:rPr>
          <w:b/>
        </w:rPr>
        <w:t>AFN COMMAND</w:t>
      </w:r>
      <w:r>
        <w:t xml:space="preserve">, </w:t>
      </w:r>
      <w:r>
        <w:rPr>
          <w:b/>
        </w:rPr>
        <w:t>AFN LAST PROMPT</w:t>
      </w:r>
      <w:r>
        <w:t xml:space="preserve"> и </w:t>
      </w:r>
      <w:r>
        <w:rPr>
          <w:b/>
        </w:rPr>
        <w:t>UNDOCTL</w:t>
      </w:r>
      <w:r>
        <w:t>. Следуйте сообщению очистки; если AutoCAD отказал при откате, закройте только этот новый чертёж без сохранения. Файл после ошибки сохранения не используйте как библиотечный. Незавершённое создание и сообщение о безопасном отказе отмечайте как непройденный сценарий.</w:t>
      </w:r>
    </w:p>
    <w:p>
      <w:r>
        <w:t>Автор явно задаёт настройки размеров и слой 0, затем восстанавливает изменённые системные настройки. Выключенный/замороженный/заблокированный слой 0 и неподходящий режим UNDO отклоняются до изменений. Ожидается размер с правильной измеряемой величиной и видимой подписью, а не только прежний текст после перемещения. Этот маршрут ещё должен быть подтверждён в AutoCAD.</w:t>
      </w:r>
    </w:p>
    <w:p>
      <w:pPr>
        <w:pStyle w:val="Heading3"/>
      </w:pPr>
      <w:r>
        <w:t>Импортировать и подготовить пять экземпляров</w:t>
      </w:r>
    </w:p>
    <w:p>
      <w:pPr>
        <w:ind w:left="317" w:hanging="317"/>
      </w:pPr>
      <w:r>
        <w:t xml:space="preserve">1. В принимающем DWG с загруженным AFrame №113 вызовите </w:t>
      </w:r>
      <w:r>
        <w:rPr>
          <w:b/>
        </w:rPr>
        <w:t>ATFNODEIMPORT</w:t>
      </w:r>
      <w:r>
        <w:t xml:space="preserve"> и выберите подготовленный библиотечный DWG, затем точку вставки. Имя блока само по себе не подтверждает совместимость: проверяются его паспорт и штатные свойства. Чужое определение с совпавшим именем не заменяется автоматически. Источник обязан иметь миллиметровые единицы INSUNITS=4; автор задаёт их сам. Принимающий DWG без заданных единиц допускается после явного подтверждения «1 единица = 1 мм»; это не масштабирует существующую геометрию.</w:t>
      </w:r>
    </w:p>
    <w:p>
      <w:pPr>
        <w:ind w:left="317" w:hanging="317"/>
      </w:pPr>
      <w:r>
        <w:t xml:space="preserve">2. Выберите исходную вставку командой </w:t>
      </w:r>
      <w:r>
        <w:rPr>
          <w:b/>
        </w:rPr>
        <w:t>ATFNODEDEMO</w:t>
      </w:r>
      <w:r>
        <w:t xml:space="preserve"> и укажите размещение пяти копий. Исходная вставка сохраняется; для теста выберите именно пять новых, не шесть вместе с исходной. Если уже открыли авторский DWG с пятью вставками, дополнительные копии не нужны.</w:t>
      </w:r>
    </w:p>
    <w:p>
      <w:pPr>
        <w:ind w:left="317" w:hanging="317"/>
      </w:pPr>
      <w:r>
        <w:t>3. Проверьте единицы и базовые точки. Допускаются поворот в XY и положительный равномерный масштаб; они сохраняются. Зеркало, наклон и неравномерный масштаб отклоняют всю выбранную группу. Дюймовые или несовместимые данные не обходите подменой названия блока. Перед авторским запуском не меняйте INSUNITS в новом DWG — это нарушит требование чистого исходника.</w:t>
      </w:r>
    </w:p>
    <w:p>
      <w:pPr>
        <w:pStyle w:val="Heading3"/>
      </w:pPr>
      <w:r>
        <w:t>Изменить три из пяти через ATFNODEEDIT</w:t>
      </w:r>
    </w:p>
    <w:p>
      <w:r>
        <w:t>Учебные наборы заданы явно; они не являются расчётным подбором: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70"/>
        <w:gridCol w:w="2194"/>
        <w:gridCol w:w="2717"/>
        <w:gridCol w:w="3200"/>
      </w:tblGrid>
      <w:tr>
        <w:trPr>
          <w:cantSplit/>
          <w:tblHeader/>
        </w:trPr>
        <w:tc>
          <w:tcPr>
            <w:tcW w:type="dxa" w:w="1970"/>
            <w:vAlign w:val="center"/>
            <w:tcMar>
              <w:top w:w="85" w:type="dxa"/>
              <w:bottom w:w="85" w:type="dxa"/>
              <w:left w:w="100" w:type="dxa"/>
              <w:right w:w="100" w:type="dxa"/>
            </w:tcMar>
            <w:shd w:fill="23485F"/>
          </w:tcPr>
          <w:p>
            <w:pPr>
              <w:spacing w:after="0" w:before="0" w:line="259" w:lineRule="auto"/>
            </w:pPr>
            <w:r>
              <w:rPr>
                <w:b/>
                <w:color w:val="FFFFFF"/>
                <w:sz w:val="20"/>
              </w:rPr>
              <w:t>Набор</w:t>
            </w:r>
          </w:p>
        </w:tc>
        <w:tc>
          <w:tcPr>
            <w:tcW w:type="dxa" w:w="2194"/>
            <w:vAlign w:val="center"/>
            <w:tcMar>
              <w:top w:w="85" w:type="dxa"/>
              <w:bottom w:w="85" w:type="dxa"/>
              <w:left w:w="100" w:type="dxa"/>
              <w:right w:w="100" w:type="dxa"/>
            </w:tcMar>
            <w:shd w:fill="23485F"/>
          </w:tcPr>
          <w:p>
            <w:pPr>
              <w:spacing w:after="0" w:before="0" w:line="259" w:lineRule="auto"/>
            </w:pPr>
            <w:r>
              <w:rPr>
                <w:b/>
                <w:color w:val="FFFFFF"/>
                <w:sz w:val="20"/>
              </w:rPr>
              <w:t>Утеплитель, мм</w:t>
            </w:r>
          </w:p>
        </w:tc>
        <w:tc>
          <w:tcPr>
            <w:tcW w:type="dxa" w:w="2717"/>
            <w:vAlign w:val="center"/>
            <w:tcMar>
              <w:top w:w="85" w:type="dxa"/>
              <w:bottom w:w="85" w:type="dxa"/>
              <w:left w:w="100" w:type="dxa"/>
              <w:right w:w="100" w:type="dxa"/>
            </w:tcMar>
            <w:shd w:fill="23485F"/>
          </w:tcPr>
          <w:p>
            <w:pPr>
              <w:spacing w:after="0" w:before="0" w:line="259" w:lineRule="auto"/>
            </w:pPr>
            <w:r>
              <w:rPr>
                <w:b/>
                <w:color w:val="FFFFFF"/>
                <w:sz w:val="20"/>
              </w:rPr>
              <w:t>Вынос облицовки, мм</w:t>
            </w:r>
          </w:p>
        </w:tc>
        <w:tc>
          <w:tcPr>
            <w:tcW w:type="dxa" w:w="3200"/>
            <w:vAlign w:val="center"/>
            <w:tcMar>
              <w:top w:w="85" w:type="dxa"/>
              <w:bottom w:w="85" w:type="dxa"/>
              <w:left w:w="100" w:type="dxa"/>
              <w:right w:w="100" w:type="dxa"/>
            </w:tcMar>
            <w:shd w:fill="23485F"/>
          </w:tcPr>
          <w:p>
            <w:pPr>
              <w:spacing w:after="0" w:before="0" w:line="259" w:lineRule="auto"/>
            </w:pPr>
            <w:r>
              <w:rPr>
                <w:b/>
                <w:color w:val="FFFFFF"/>
                <w:sz w:val="20"/>
              </w:rPr>
              <w:t>Дискретные марки</w:t>
            </w:r>
          </w:p>
        </w:tc>
      </w:tr>
      <w:tr>
        <w:trPr>
          <w:cantSplit/>
        </w:trPr>
        <w:tc>
          <w:tcPr>
            <w:tcW w:type="dxa" w:w="1970"/>
            <w:vAlign w:val="center"/>
            <w:tcMar>
              <w:top w:w="85" w:type="dxa"/>
              <w:bottom w:w="85" w:type="dxa"/>
              <w:left w:w="100" w:type="dxa"/>
              <w:right w:w="100" w:type="dxa"/>
            </w:tcMar>
            <w:shd w:fill="FFFFFF"/>
          </w:tcPr>
          <w:p>
            <w:pPr>
              <w:spacing w:after="0" w:before="0" w:line="259" w:lineRule="auto"/>
            </w:pPr>
            <w:r>
              <w:rPr>
                <w:color w:val="000000"/>
                <w:sz w:val="20"/>
              </w:rPr>
              <w:t>A</w:t>
            </w:r>
          </w:p>
        </w:tc>
        <w:tc>
          <w:tcPr>
            <w:tcW w:type="dxa" w:w="2194"/>
            <w:vAlign w:val="center"/>
            <w:tcMar>
              <w:top w:w="85" w:type="dxa"/>
              <w:bottom w:w="85" w:type="dxa"/>
              <w:left w:w="100" w:type="dxa"/>
              <w:right w:w="100" w:type="dxa"/>
            </w:tcMar>
            <w:shd w:fill="FFFFFF"/>
          </w:tcPr>
          <w:p>
            <w:pPr>
              <w:spacing w:after="0" w:before="0" w:line="259" w:lineRule="auto"/>
            </w:pPr>
            <w:r>
              <w:rPr>
                <w:color w:val="000000"/>
                <w:sz w:val="20"/>
              </w:rPr>
              <w:t>100</w:t>
            </w:r>
          </w:p>
        </w:tc>
        <w:tc>
          <w:tcPr>
            <w:tcW w:type="dxa" w:w="2717"/>
            <w:vAlign w:val="center"/>
            <w:tcMar>
              <w:top w:w="85" w:type="dxa"/>
              <w:bottom w:w="85" w:type="dxa"/>
              <w:left w:w="100" w:type="dxa"/>
              <w:right w:w="100" w:type="dxa"/>
            </w:tcMar>
            <w:shd w:fill="FFFFFF"/>
          </w:tcPr>
          <w:p>
            <w:pPr>
              <w:spacing w:after="0" w:before="0" w:line="259" w:lineRule="auto"/>
            </w:pPr>
            <w:r>
              <w:rPr>
                <w:color w:val="000000"/>
                <w:sz w:val="20"/>
              </w:rPr>
              <w:t>230</w:t>
            </w:r>
          </w:p>
        </w:tc>
        <w:tc>
          <w:tcPr>
            <w:tcW w:type="dxa" w:w="3200"/>
            <w:vAlign w:val="center"/>
            <w:tcMar>
              <w:top w:w="85" w:type="dxa"/>
              <w:bottom w:w="85" w:type="dxa"/>
              <w:left w:w="100" w:type="dxa"/>
              <w:right w:w="100" w:type="dxa"/>
            </w:tcMar>
            <w:shd w:fill="FFFFFF"/>
          </w:tcPr>
          <w:p>
            <w:pPr>
              <w:spacing w:after="0" w:before="0" w:line="259" w:lineRule="auto"/>
            </w:pPr>
            <w:r>
              <w:rPr>
                <w:color w:val="000000"/>
                <w:sz w:val="20"/>
              </w:rPr>
              <w:t>КР2-70-200; ГП-40-40-1,2</w:t>
            </w:r>
          </w:p>
        </w:tc>
      </w:tr>
      <w:tr>
        <w:trPr>
          <w:cantSplit/>
        </w:trPr>
        <w:tc>
          <w:tcPr>
            <w:tcW w:type="dxa" w:w="1970"/>
            <w:vAlign w:val="center"/>
            <w:tcMar>
              <w:top w:w="85" w:type="dxa"/>
              <w:bottom w:w="85" w:type="dxa"/>
              <w:left w:w="100" w:type="dxa"/>
              <w:right w:w="100" w:type="dxa"/>
            </w:tcMar>
            <w:shd w:fill="F1F5F7"/>
          </w:tcPr>
          <w:p>
            <w:pPr>
              <w:spacing w:after="0" w:before="0" w:line="259" w:lineRule="auto"/>
            </w:pPr>
            <w:r>
              <w:rPr>
                <w:color w:val="000000"/>
                <w:sz w:val="20"/>
              </w:rPr>
              <w:t>B</w:t>
            </w:r>
          </w:p>
        </w:tc>
        <w:tc>
          <w:tcPr>
            <w:tcW w:type="dxa" w:w="2194"/>
            <w:vAlign w:val="center"/>
            <w:tcMar>
              <w:top w:w="85" w:type="dxa"/>
              <w:bottom w:w="85" w:type="dxa"/>
              <w:left w:w="100" w:type="dxa"/>
              <w:right w:w="100" w:type="dxa"/>
            </w:tcMar>
            <w:shd w:fill="F1F5F7"/>
          </w:tcPr>
          <w:p>
            <w:pPr>
              <w:spacing w:after="0" w:before="0" w:line="259" w:lineRule="auto"/>
            </w:pPr>
            <w:r>
              <w:rPr>
                <w:color w:val="000000"/>
                <w:sz w:val="20"/>
              </w:rPr>
              <w:t>150</w:t>
            </w:r>
          </w:p>
        </w:tc>
        <w:tc>
          <w:tcPr>
            <w:tcW w:type="dxa" w:w="2717"/>
            <w:vAlign w:val="center"/>
            <w:tcMar>
              <w:top w:w="85" w:type="dxa"/>
              <w:bottom w:w="85" w:type="dxa"/>
              <w:left w:w="100" w:type="dxa"/>
              <w:right w:w="100" w:type="dxa"/>
            </w:tcMar>
            <w:shd w:fill="F1F5F7"/>
          </w:tcPr>
          <w:p>
            <w:pPr>
              <w:spacing w:after="0" w:before="0" w:line="259" w:lineRule="auto"/>
            </w:pPr>
            <w:r>
              <w:rPr>
                <w:color w:val="000000"/>
                <w:sz w:val="20"/>
              </w:rPr>
              <w:t>280</w:t>
            </w:r>
          </w:p>
        </w:tc>
        <w:tc>
          <w:tcPr>
            <w:tcW w:type="dxa" w:w="3200"/>
            <w:vAlign w:val="center"/>
            <w:tcMar>
              <w:top w:w="85" w:type="dxa"/>
              <w:bottom w:w="85" w:type="dxa"/>
              <w:left w:w="100" w:type="dxa"/>
              <w:right w:w="100" w:type="dxa"/>
            </w:tcMar>
            <w:shd w:fill="F1F5F7"/>
          </w:tcPr>
          <w:p>
            <w:pPr>
              <w:spacing w:after="0" w:before="0" w:line="259" w:lineRule="auto"/>
            </w:pPr>
            <w:r>
              <w:rPr>
                <w:color w:val="000000"/>
                <w:sz w:val="20"/>
              </w:rPr>
              <w:t>КР2-70-250; ГП-60-40-1,2</w:t>
            </w:r>
          </w:p>
        </w:tc>
      </w:tr>
    </w:tbl>
    <w:p>
      <w:pPr>
        <w:spacing w:after="40"/>
      </w:pPr>
    </w:p>
    <w:p>
      <w:r>
        <w:t>УК-70-100-1,2 сохраняется в обоих вариантах. Положение УК/ГП задано отдельно внутри A/B. Изменение только выноса перемещает плиту и её размер, не подбирает длину кронштейна и не вычисляет положение УК/ГП.</w:t>
      </w:r>
    </w:p>
    <w:p>
      <w:pPr>
        <w:ind w:left="317" w:hanging="317"/>
      </w:pPr>
      <w:r>
        <w:t xml:space="preserve">1. Автор оставляет первые три вставки в B, две в A. Для общего исходного состояния вызовите </w:t>
      </w:r>
      <w:r>
        <w:rPr>
          <w:b/>
        </w:rPr>
        <w:t>ATFNODEEDIT</w:t>
      </w:r>
      <w:r>
        <w:t xml:space="preserve">, введите </w:t>
      </w:r>
      <w:r>
        <w:rPr>
          <w:b/>
        </w:rPr>
        <w:t>100, 230, A</w:t>
      </w:r>
      <w:r>
        <w:t xml:space="preserve">, затем выберите </w:t>
      </w:r>
      <w:r>
        <w:rPr>
          <w:b/>
        </w:rPr>
        <w:t>все пять</w:t>
      </w:r>
      <w:r>
        <w:t xml:space="preserve"> и завершите выбор.</w:t>
      </w:r>
    </w:p>
    <w:p>
      <w:pPr>
        <w:ind w:left="317" w:hanging="317"/>
      </w:pPr>
      <w:r>
        <w:t xml:space="preserve">2. Повторите </w:t>
      </w:r>
      <w:r>
        <w:rPr>
          <w:b/>
        </w:rPr>
        <w:t>ATFNODEEDIT</w:t>
      </w:r>
      <w:r>
        <w:t xml:space="preserve">: сначала введите </w:t>
      </w:r>
      <w:r>
        <w:rPr>
          <w:b/>
        </w:rPr>
        <w:t>150, 280, B</w:t>
      </w:r>
      <w:r>
        <w:t xml:space="preserve">, затем рамкой выберите </w:t>
      </w:r>
      <w:r>
        <w:rPr>
          <w:b/>
        </w:rPr>
        <w:t>только три</w:t>
      </w:r>
      <w:r>
        <w:t>. Параметры задаются до выбора объектов; общее определение не перерисовывается.</w:t>
      </w:r>
    </w:p>
    <w:p>
      <w:pPr>
        <w:ind w:left="317" w:hanging="317"/>
      </w:pPr>
      <w:r>
        <w:t>3. У выбранных сверьте утеплитель, плиту, геометрию деталей, реальные размеры и марки. У двух невыбранных должны сохраниться весь набор A, размеры, марки и положение. Успех одного чтения свойств недостаточен.</w:t>
      </w:r>
    </w:p>
    <w:p>
      <w:pPr>
        <w:ind w:left="317" w:hanging="317"/>
      </w:pPr>
      <w:r>
        <w:t xml:space="preserve">4. Повторите B: накопленного смещения нет. Верните выбранные три в A через </w:t>
      </w:r>
      <w:r>
        <w:rPr>
          <w:b/>
        </w:rPr>
        <w:t>100, 230, A</w:t>
      </w:r>
      <w:r>
        <w:t>. Отдельно отмените выбор через Esc и убедитесь, что прежние вставки сохранены.</w:t>
      </w:r>
    </w:p>
    <w:p>
      <w:pPr>
        <w:pStyle w:val="Heading3"/>
      </w:pPr>
      <w:r>
        <w:t>Штатные Properties ручки и нативная проверка</w:t>
      </w:r>
    </w:p>
    <w:p>
      <w:r>
        <w:t xml:space="preserve">Через </w:t>
      </w:r>
      <w:r>
        <w:rPr>
          <w:b/>
        </w:rPr>
        <w:t>Ctrl+1 (Properties)</w:t>
      </w:r>
      <w:r>
        <w:t xml:space="preserve"> порядок изменения всегда такой: сначала </w:t>
      </w:r>
      <w:r>
        <w:rPr>
          <w:b/>
        </w:rPr>
        <w:t>AFN_VARIANT</w:t>
      </w:r>
      <w:r>
        <w:t xml:space="preserve">, затем </w:t>
      </w:r>
      <w:r>
        <w:rPr>
          <w:b/>
        </w:rPr>
        <w:t>AFN_INSULATION</w:t>
      </w:r>
      <w:r>
        <w:t xml:space="preserve">, затем </w:t>
      </w:r>
      <w:r>
        <w:rPr>
          <w:b/>
        </w:rPr>
        <w:t>AFN_CLADDING_X</w:t>
      </w:r>
      <w:r>
        <w:t>. Точные имена вариантов:</w:t>
      </w:r>
    </w:p>
    <w:p>
      <w:pPr>
        <w:ind w:left="317" w:hanging="317"/>
      </w:pPr>
      <w:r>
        <w:t xml:space="preserve">• A — </w:t>
      </w:r>
      <w:r>
        <w:rPr>
          <w:rFonts w:ascii="DejaVu Sans Mono" w:hAnsi="DejaVu Sans Mono"/>
          <w:sz w:val="19"/>
        </w:rPr>
        <w:t>V1_KR2_70_200_GP_40_40_1p2</w:t>
      </w:r>
      <w:r>
        <w:t>, затем 100 и 230;</w:t>
      </w:r>
    </w:p>
    <w:p>
      <w:pPr>
        <w:ind w:left="317" w:hanging="317"/>
      </w:pPr>
      <w:r>
        <w:t xml:space="preserve">• B — </w:t>
      </w:r>
      <w:r>
        <w:rPr>
          <w:rFonts w:ascii="DejaVu Sans Mono" w:hAnsi="DejaVu Sans Mono"/>
          <w:sz w:val="19"/>
        </w:rPr>
        <w:t>V1_KR2_70_250_GP_60_40_1p2</w:t>
      </w:r>
      <w:r>
        <w:t>, затем 150 и 280.</w:t>
      </w:r>
    </w:p>
    <w:p>
      <w:r>
        <w:t xml:space="preserve">На пяти вставках в общем A повторите выбор трёх и переход B через Properties. Проверьте настоящие линейные ручки, </w:t>
      </w:r>
      <w:r>
        <w:rPr>
          <w:b/>
        </w:rPr>
        <w:t>COPY</w:t>
      </w:r>
      <w:r>
        <w:t xml:space="preserve"> с независимым изменением копии, </w:t>
      </w:r>
      <w:r>
        <w:rPr>
          <w:b/>
        </w:rPr>
        <w:t>UNDO</w:t>
      </w:r>
      <w:r>
        <w:t>, сохранение, закрытие и повторное открытие. COPY библиотечной вставки допустим; запрет подтверждать COPY справочной схемы ATFNODE к ней не относится.</w:t>
      </w:r>
    </w:p>
    <w:p>
      <w:r>
        <w:t xml:space="preserve">Для дополнительной проверки верните ровно пять вставок </w:t>
      </w:r>
      <w:r>
        <w:rPr>
          <w:b/>
        </w:rPr>
        <w:t>одного исходного определения</w:t>
      </w:r>
      <w:r>
        <w:t xml:space="preserve"> в A. Выполните </w:t>
      </w:r>
      <w:r>
        <w:rPr>
          <w:b/>
        </w:rPr>
        <w:t>ATFNODETEST</w:t>
      </w:r>
      <w:r>
        <w:t xml:space="preserve">, выберите эти пять и введите </w:t>
      </w:r>
      <w:r>
        <w:rPr>
          <w:b/>
        </w:rPr>
        <w:t>150, 280</w:t>
      </w:r>
      <w:r>
        <w:t>. Тест меняет три вставки с наименьшими handles, независимо от порядка щелчков, сообщает их, проверяет две остальные, повтор/возврат и откатывает свои изменения. Он сверяет геометрию, марки и измеряемые размеры, включая отображение числа, единицы и измерительный масштаб размера. Переименованная или округлённая вручную подпись не считается правильным размером. Этот тест не заменяет ручной проход и сохранение/открытие.</w:t>
      </w:r>
    </w:p>
    <w:p>
      <w:r>
        <w:t>Положительный результат графической проверки не подтверждает монтаж или изготовление. Условные пятки/гибы и учебные координаты отмечены в закрытом пилоте; отверстия, кляммер и крепёж не моделируются. Диапазоны регулировки, совместимость сочетаний и несущая способность не выдумываются. До нативного прохода не называйте подготовленный автор или изображение «до/после» готовой библиотекой.</w:t>
      </w:r>
    </w:p>
    <w:p>
      <w:pPr>
        <w:pStyle w:val="Heading2"/>
      </w:pPr>
      <w:r>
        <w:t>Углы и перекрытия</w:t>
      </w:r>
    </w:p>
    <w:p>
      <w:r>
        <w:t>При включении «внешние углы здания» после окна указывают точки на настоящих внешних углах и завершают список Enter. Теперь сохраняются обе координаты X и Y: при уступе укажите точку на соответствующем вертикальном участке границы. Сам край выбранной зоны не обозначает внешний угол здания. Esc отменяет команду с сохранением прежней подсистемы. Если сразу нажать Enter, угловые ряды и швеллеры не создаются; обычные правила сетки сохраняются.</w:t>
      </w:r>
    </w:p>
    <w:p>
      <w:r>
        <w:t>L — расстояние от основания до наружной поверхности облицовки. Если оно задано проектом/зоной, используется это значение; иначе после выбора углов программа запросит «Вынос наружной поверхности облицовки от основания, мм». L не подменяет расчётное плечо нагрузки. Вводите миллиметры; значение должно быть конечным и неотрицательным.</w:t>
      </w:r>
    </w:p>
    <w:p>
      <w:r>
        <w:t>Для вертикальной системы программа создаёт ряд кронштейнов и направляющую на границе угла, затем второй ряд на L+100 мм внутрь замкнутого контура. Между ними отрисовывается угловой швеллер высотой 100 мм и длиной L+200 мм с тем же шагом по высоте, что и парные кронштейны. Принятая условная привязка: по 50 мм за каждую ось, середина швеллера на отметке кронштейнов. Фактические монтажные смещения, сечение, масса, крепёж и несущая способность швеллера этой схемой не назначаются.</w:t>
      </w:r>
    </w:p>
    <w:p>
      <w:r>
        <w:t>При L=230 мм на левой границе X=0 ожидаются оси 0 и 330 мм, прямоугольник шириной 430 мм от X=−50 до X=380 и высотой 100 мм. У правой границы X=6000 ожидаются оси 6000 и 5670 мм, прямоугольник от 5620 до 6050. Это проверочные размеры схемы, согласованной Германом; они не заменяют рабочий монтажный узел.</w:t>
      </w:r>
    </w:p>
    <w:p>
      <w:r>
        <w:t>В ортогональной и межэтажной схемах первые кронштейны располагаются на L+100 мм внутрь от указанного внешнего угла, следующие — с расчётным либо заданным шагом в пределах поддержанного режима. Углового швеллера и добавочного ряда на границе нет. В режиме только кляммеров угловой швеллер не создаётся.</w:t>
      </w:r>
    </w:p>
    <w:p>
      <w:r>
        <w:t>После построения проверьте F2 и ведомость подсистемы: число швеллеров, суммарную длину и отметку об условной схеме. Если узкая стена, проём или отсутствие пары опор не позволяет разместить элемент, программа должна сообщить частичный результат с причиной. Такой пропуск не является полностью выполненным углом; сохраните координаты и проверьте проектное решение.</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AClad проверяет обратное чтение динамических размеров, фактический габарит и положение. В №111 прежний допуск 0,5 мм убран: учитывается только численная погрешность координат, а расхождение 0,15 мм больше не принимается. Это программная сверка, не монтажный или производственный норматив. При несоответствии построение отменяется с сохранением прежнего результата. Сообщение о неустановленном динамическом свойстве — повод сохранить F2 и проверить исходный блок. Отказ обычного сценария с блоком нельзя засчитать как успех после замены прямоугольником; отдельное упражнение без образца можно выполнить на другой копии.</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927" w:name="chapter_15"/>
      <w:pPr>
        <w:pStyle w:val="Heading1"/>
      </w:pPr>
      <w:r>
        <w:t>14 Размеры и поиск дублей</w:t>
      </w:r>
      <w:bookmarkEnd w:id="927"/>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935" w:name="chapter_16"/>
      <w:pPr>
        <w:pStyle w:val="Heading1"/>
      </w:pPr>
      <w:r>
        <w:t>15 Зачем осталась команда ATCLAD</w:t>
      </w:r>
      <w:bookmarkEnd w:id="935"/>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943" w:name="chapter_17"/>
      <w:pPr>
        <w:pStyle w:val="Heading1"/>
      </w:pPr>
      <w:r>
        <w:t>16 Частые ошибки что делать по сообщению</w:t>
      </w:r>
      <w:bookmarkEnd w:id="94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Предупреждение о версиях модулей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Загружены разные выпуски или отсутствуют сведения о версии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Закрыть AutoCAD, убрать старые копии и установить три папки одного выпуска</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Геометрия изменена либо зона создана старой версией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старой зоны сначала ATFZONEACCEPT по разделу 10.3; для изменённой современной зоны — раздел 10.2</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«Монтажная принадлежность не определена»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кронштейн — кандидат для нескольких отдельных кусков ГП; ошибка монтажа не установлена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Сверить ID кронштейна и направляющих из предупреждения с проектным узлом; совпадение не назначает опору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ID кронштейна отсутствует среди ссылок кандидатов опор</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проверенном составе деталь есть, а в паспорте нет ссылки на неё как на кандидата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Сверить ID и зону с проектным узлом; деталь не удалять как лишнюю по одному сообщению</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ATFTABLE сообщает «ПСК изменилась во время команды»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ПСК новой вставки изменена после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ATFTABLE при неизменной ПСК; прежняя таблица и файл сохраняются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Короткий кусок выделен красным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При старте 300 мм участок до 600 мм включительно построен с одним кронштейном по центру; расчёт не подтверждён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Найти координаты в F2 и ведомости, проверить проектное закрепление; остальная геометрия строится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Красным отмечена перегрузка куска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Профиль, кронштейн или анкер не проходят применённую проверку; геометрия сохранена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данные и проектное решение. Не считать частичный результат прошедшим расчётом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раздел 10.5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999" w:name="chapter_18"/>
      <w:pPr>
        <w:pStyle w:val="Heading1"/>
      </w:pPr>
      <w:r>
        <w:t>17 Сохранение и передача результата</w:t>
      </w:r>
      <w:bookmarkEnd w:id="999"/>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условиями номинальной цепи и перечнем оставшихся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При красных кусках проверьте после открытия, что ведомость подсистемы и Excel по-прежнему показывают их координаты и причины. Передайте этот список вместе с DWG. Скрытие служебного слоя или ручное изменение цвета не снимает расчётное замечание.</w:t>
      </w:r>
    </w:p>
    <w:p>
      <w:r>
        <w:t xml:space="preserve">Контрольные снимки не заменяют внешний </w:t>
      </w:r>
      <w:r>
        <w:rPr>
          <w:rFonts w:ascii="DejaVu Sans Mono" w:hAnsi="DejaVu Sans Mono"/>
          <w:sz w:val="19"/>
        </w:rPr>
        <w:t>_fzones.json</w:t>
      </w:r>
      <w:r>
        <w:t xml:space="preserve">: храните соответствующий файл рядом с DWG. После «Сохранить как» под новым именем копируйте родной JSON в новую папку и называйте по новому DWG: для </w:t>
      </w:r>
      <w:r>
        <w:rPr>
          <w:rFonts w:ascii="DejaVu Sans Mono" w:hAnsi="DejaVu Sans Mono"/>
          <w:sz w:val="19"/>
        </w:rPr>
        <w:t>Facade_copy.dwg</w:t>
      </w:r>
      <w:r>
        <w:t xml:space="preserve"> нужен </w:t>
      </w:r>
      <w:r>
        <w:rPr>
          <w:rFonts w:ascii="DejaVu Sans Mono" w:hAnsi="DejaVu Sans Mono"/>
          <w:sz w:val="19"/>
        </w:rPr>
        <w:t>Facade_copy_fzones.json</w:t>
      </w:r>
      <w:r>
        <w:t>. Само сохранение DWG не означает автоматический перенос внешнего файла.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hyperlink r:id="rId26">
        <w:r>
          <w:rPr>
            <w:color w:val="245D83"/>
          </w:rPr>
          <w:t>03_reference_rect.dxf</w:t>
        </w:r>
      </w:hyperlink>
      <w:r>
        <w:t xml:space="preserve"> и </w:t>
      </w:r>
      <w:hyperlink r:id="rId27">
        <w:r>
          <w:rPr>
            <w:color w:val="245D83"/>
          </w:rPr>
          <w:t>04_reference_gable.dxf</w:t>
        </w:r>
      </w:hyperlink>
      <w:r>
        <w:t xml:space="preserve"> — исторические схемы движков от 30 сентября: первая показывает облицовку и учебную подсистему прямоугольного фасада, вторая — </w:t>
      </w:r>
      <w:r>
        <w:rPr>
          <w:b/>
        </w:rPr>
        <w:t>только облицовку фронтона, без подсистемы</w:t>
      </w:r>
      <w:r>
        <w:t xml:space="preserve">. Они </w:t>
      </w:r>
      <w:r>
        <w:rPr>
          <w:b/>
        </w:rPr>
        <w:t>не содержат созданных внутри AutoCAD служебных связей зон и команд построения</w:t>
      </w:r>
      <w:r>
        <w:t xml:space="preserve">. Известный отказ отдельного фронтонного запроса из-за шины без опоры не считается успешным каркасом.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r>
        <w:t>Для библиотечного узла отдельно передайте исходный библиотечный DWG, тестовый DWG с пятью вставками, версию LISP и AFrame, F2, снимки до/после и результаты Properties/ручек/COPY/UNDO/save-open. Снимки приватного пилота и его геометрию передавайте по закрытому проектному каналу. Авторский LISP без успешного нативного запуска не заменяет DWG.</w:t>
      </w:r>
    </w:p>
    <w:p>
      <w:bookmarkStart w:id="1017" w:name="chapter_19"/>
      <w:pPr>
        <w:pStyle w:val="Heading1"/>
      </w:pPr>
      <w:r>
        <w:t>18 Как сообщить о проблеме чтобы её можно было исправить</w:t>
      </w:r>
      <w:bookmarkEnd w:id="1017"/>
    </w:p>
    <w:p>
      <w:r>
        <w:t>Передайте Денису: номер архива сборки; три строки загрузки с датами DLL и совпадающие build/sha; версию AutoCAD; DWG вместе с его JSON; точное имя команды и последовательность ответов; весь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 отказе ATTILE включите исходную причину AutoCAD, имя свойства и строки с запрошенным и фактическим значениями, типом свойства CLR/API, единицами и допустимыми значениями. Для автора узла запишите его редакцию, AFN STAGE, AFN COMMAND, AFN LAST PROMPT, UNDOCTL и итог очистки. Для каждого пункта раздела 2.3 отметьте «пройден», «не пройден» или «не выполнен». В положительном сценарии ожидается новый правильный результат, а не только отсутствие повреждения прежних объектов.</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1025" w:name="chapter_20"/>
      <w:pPr>
        <w:pStyle w:val="Heading1"/>
      </w:pPr>
      <w:r>
        <w:t>19 Словарь начинающего пользователя</w:t>
      </w:r>
      <w:bookmarkEnd w:id="102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77"/>
        <w:gridCol w:w="6603"/>
      </w:tblGrid>
      <w:tr>
        <w:trPr>
          <w:cantSplit/>
          <w:tblHeader/>
        </w:trPr>
        <w:tc>
          <w:tcPr>
            <w:tcW w:type="dxa" w:w="3477"/>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603"/>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Библиотечный динамический узел</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Подготовленный блок со штатными свойствами и действиями AutoCAD; изменяются только выбранные вставки</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Контрольный снимок геометрии</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477"/>
            <w:vAlign w:val="center"/>
            <w:tcMar>
              <w:top w:w="85" w:type="dxa"/>
              <w:bottom w:w="85" w:type="dxa"/>
              <w:left w:w="100" w:type="dxa"/>
              <w:right w:w="100" w:type="dxa"/>
            </w:tcMar>
            <w:shd w:fill="FFFFFF"/>
          </w:tcPr>
          <w:p>
            <w:pPr>
              <w:spacing w:after="0" w:before="0" w:line="259" w:lineRule="auto"/>
            </w:pPr>
            <w:r>
              <w:rPr>
                <w:color w:val="000000"/>
                <w:sz w:val="20"/>
              </w:rPr>
              <w:t>JSON рядом с DWG</w:t>
            </w:r>
          </w:p>
        </w:tc>
        <w:tc>
          <w:tcPr>
            <w:tcW w:type="dxa" w:w="6603"/>
            <w:vAlign w:val="center"/>
            <w:tcMar>
              <w:top w:w="85" w:type="dxa"/>
              <w:bottom w:w="85" w:type="dxa"/>
              <w:left w:w="100" w:type="dxa"/>
              <w:right w:w="100" w:type="dxa"/>
            </w:tcMar>
            <w:shd w:fill="FFFFFF"/>
          </w:tcPr>
          <w:p>
            <w:pPr>
              <w:spacing w:after="0" w:before="0" w:line="259" w:lineRule="auto"/>
            </w:pPr>
            <w:r>
              <w:rPr>
                <w:color w:val="000000"/>
                <w:sz w:val="20"/>
              </w:rPr>
              <w:t>Дополнительный файл геометрии/данных зон</w:t>
            </w:r>
          </w:p>
        </w:tc>
      </w:tr>
      <w:tr>
        <w:trPr>
          <w:cantSplit/>
        </w:trPr>
        <w:tc>
          <w:tcPr>
            <w:tcW w:type="dxa" w:w="3477"/>
            <w:vAlign w:val="center"/>
            <w:tcMar>
              <w:top w:w="85" w:type="dxa"/>
              <w:bottom w:w="85" w:type="dxa"/>
              <w:left w:w="100" w:type="dxa"/>
              <w:right w:w="100" w:type="dxa"/>
            </w:tcMar>
            <w:shd w:fill="F1F5F7"/>
          </w:tcPr>
          <w:p>
            <w:pPr>
              <w:spacing w:after="0" w:before="0" w:line="259" w:lineRule="auto"/>
            </w:pPr>
            <w:r>
              <w:rPr>
                <w:color w:val="000000"/>
                <w:sz w:val="20"/>
              </w:rPr>
              <w:t>Слой</w:t>
            </w:r>
          </w:p>
        </w:tc>
        <w:tc>
          <w:tcPr>
            <w:tcW w:type="dxa" w:w="6603"/>
            <w:vAlign w:val="center"/>
            <w:tcMar>
              <w:top w:w="85" w:type="dxa"/>
              <w:bottom w:w="85" w:type="dxa"/>
              <w:left w:w="100" w:type="dxa"/>
              <w:right w:w="100" w:type="dxa"/>
            </w:tcMar>
            <w:shd w:fill="F1F5F7"/>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1062" w:name="chapter_21"/>
      <w:pPr>
        <w:pStyle w:val="Heading1"/>
        <w:pageBreakBefore/>
      </w:pPr>
      <w:r>
        <w:t>20 Финальная самопроверка первого урока</w:t>
      </w:r>
      <w:bookmarkEnd w:id="1062"/>
    </w:p>
    <w:p>
      <w:r>
        <w:t>Урок выполнен, когда вы самостоятельно повторили цепочку и проверили результат:</w:t>
      </w:r>
    </w:p>
    <w:p>
      <w:pPr>
        <w:ind w:left="317" w:hanging="317"/>
      </w:pPr>
      <w:r>
        <w:t>• три модуля одного выпуска загрузились; номер записан, открыта соответствующая пара DWG и JSON;</w:t>
      </w:r>
    </w:p>
    <w:p>
      <w:pPr>
        <w:ind w:left="317" w:hanging="317"/>
      </w:pPr>
      <w:r>
        <w:t>• зона У-1 содержит два окна, площадь нетто равна 32,40 м²; новые проёмы явно включены в ATFZONE;</w:t>
      </w:r>
    </w:p>
    <w:p>
      <w:pPr>
        <w:ind w:left="317" w:hanging="317"/>
      </w:pPr>
      <w:r>
        <w:t>• плитка 290×82 мм, швы 7/7 мм, разбежка через ряд на 1/2 модуля, отсчёт ПН; окна свободны, подрезки и предупреждения просмотрены;</w:t>
      </w:r>
    </w:p>
    <w:p>
      <w:pPr>
        <w:ind w:left="317" w:hanging="317"/>
      </w:pPr>
      <w:r>
        <w:t>• ATFRAME прочитал ряды ATTILE и построил учебную вертикальную подсистему с шинами; после изменения исходников повторена вся цепочка;</w:t>
      </w:r>
    </w:p>
    <w:p>
      <w:pPr>
        <w:ind w:left="317" w:hanging="317"/>
      </w:pPr>
      <w:r>
        <w:t>• ведомости получены в DWG и XLSX; площади, погонажи и выбранные детали сверены с чертежом;</w:t>
      </w:r>
    </w:p>
    <w:p>
      <w:pPr>
        <w:ind w:left="317" w:hanging="317"/>
      </w:pPr>
      <w:r>
        <w:t>• ведомость облицовки показывает 1331 установленную деталь точного первого урока; заготовки и отходы не прибавлены к этому числу;</w:t>
      </w:r>
    </w:p>
    <w:p>
      <w:pPr>
        <w:ind w:left="317" w:hanging="317"/>
      </w:pPr>
      <w:r>
        <w:t>• ведомость подсистемы проверена по категориям и длинам; оценка хлыстов отделена от установленного состава и не принята за закупку;</w:t>
      </w:r>
    </w:p>
    <w:p>
      <w:pPr>
        <w:ind w:left="317" w:hanging="317"/>
      </w:pPr>
      <w:r>
        <w:t>• в дополнительных оконных тестах красные куски найдены по списку F2; замечания сверены с ведомостью и Excel после сохранения и открытия;</w:t>
      </w:r>
    </w:p>
    <w:p>
      <w:pPr>
        <w:ind w:left="317" w:hanging="317"/>
      </w:pPr>
      <w:r>
        <w:t>• понятны границы результата: учебная геометрия не является готовым проектом, паспорт соединений не поддерживает этот пример бетонной плитки, ограниченный расчёт не подтверждает весь монтажный узел;</w:t>
      </w:r>
    </w:p>
    <w:p>
      <w:pPr>
        <w:ind w:left="317" w:hanging="317"/>
      </w:pPr>
      <w:r>
        <w:t>• известно, какие исходники и команды обновлять; сохранены рабочая пара файлов и контрольная копия до экспериментов.</w:t>
      </w:r>
    </w:p>
    <w:p>
      <w:r>
        <w:t>Следующие учебные шаги — фасад с пятнадцатью окнами из разделов 7.4–7.5, ленточные окна и низкий подоконник из раздела 7.6, хлыст с добором из раздела 7.7, другой рисунок ATTILE и фронтон. Отдельный пилот библиотеки из главы 13 требует пяти вставок, изменения трёх и сохранности двух; он не подменяется справочной ATFNODE. Рабочий объект начинайте с одной небольшой зоны, сверенной вручную, затем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releases/tag/build-113" TargetMode="External"/><Relationship Id="rId12" Type="http://schemas.openxmlformats.org/officeDocument/2006/relationships/image" Target="media/image1.png"/><Relationship Id="rId13" Type="http://schemas.openxmlformats.org/officeDocument/2006/relationships/hyperlink" Target="https://github.com/zinchenko-denis/AutoCAD/raw/refs/heads/feat/auto-reactor/docs/facades_beginner_3009/assets/01_source_rect.dxf"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yperlink" Target="https://github.com/zinchenko-denis/AutoCAD/raw/refs/heads/feat/auto-reactor/docs/pilot/assets/Facade_18x12_15windows.dxf" TargetMode="External"/><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github.com/zinchenko-denis/AutoCAD/raw/refs/heads/feat/auto-reactor/docs/facades_beginner_3009/assets/02_source_gable.dxf" TargetMode="External"/><Relationship Id="rId26" Type="http://schemas.openxmlformats.org/officeDocument/2006/relationships/hyperlink" Target="https://github.com/zinchenko-denis/AutoCAD/raw/refs/heads/feat/auto-reactor/docs/facades_beginner_3009/assets/03_reference_rect.dxf" TargetMode="External"/><Relationship Id="rId27" Type="http://schemas.openxmlformats.org/officeDocument/2006/relationships/hyperlink" Target="https://github.com/zinchenko-denis/AutoCAD/raw/refs/heads/feat/auto-reactor/docs/facades_beginner_3009/assets/04_reference_gable.dx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 ATFNODEIMPORT ATFNODEEDIT ATFNODEDEMO ATFNODETEST</cp:keywords>
  <dc:description>generated by python-docx</dc:description>
  <cp:lastModifiedBy/>
  <cp:revision>1</cp:revision>
  <dcterms:created xsi:type="dcterms:W3CDTF">2013-12-23T23:15:00Z</dcterms:created>
  <dcterms:modified xsi:type="dcterms:W3CDTF">2013-12-23T23:15:00Z</dcterms:modified>
  <cp:category/>
</cp:coreProperties>
</file>