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w:t>
      </w:r>
      <w:r>
        <w:rPr>
          <w:b/>
        </w:rPr>
        <w:t>build-106 — AFacades + AClad + AFrame</w:t>
      </w:r>
      <w:r>
        <w:t xml:space="preserve">. Скачайте три фасадных модуля со </w:t>
      </w:r>
      <w:hyperlink r:id="rId11">
        <w:r>
          <w:rPr>
            <w:color w:val="245D83"/>
          </w:rPr>
          <w:t>страницы выпуска 106 на GitHub</w:t>
        </w:r>
      </w:hyperlink>
      <w:r>
        <w:t>. Руководство описывает команды и поля окон этого выпуска.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от 2 октября 2026 года для выпуска build-106. Перед занятием установите AFacades, AClad и AFrame из этого выпуска. Живая проверка в AutoCAD ещё предстоит.</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Руководство предназначено для выпуска build-106.</w:t>
      </w:r>
      <w:r>
        <w:t xml:space="preserve"> В расчёте вертикальной подсистемы теперь учитывается каждый отдельный кусок направляющей у окна, его пролёты и свесы. Короткий остаток при резке перераспределяется; исходный участок, на котором нельзя разместить две опоры, получает понятный отказ. Старую зону можно принять без пересоздания её марки и штриховки. Появились проверка согласованности версий и кнопки команд проекта, зон и схемы узла.</w:t>
      </w:r>
    </w:p>
    <w:p>
      <w:r>
        <w:rPr>
          <w:b/>
        </w:rPr>
        <w:t>В прежних архивах build-105 этих исправлений нет.</w:t>
      </w:r>
      <w:r>
        <w:t xml:space="preserve"> Откройте </w:t>
      </w:r>
      <w:hyperlink r:id="rId11">
        <w:r>
          <w:rPr>
            <w:color w:val="245D83"/>
          </w:rPr>
          <w:t>выпуск build-106 на GitHub</w:t>
        </w:r>
      </w:hyperlink>
      <w:r>
        <w:t>, прочитайте его описание и скачайте AFacades, AClad и AFrame из этого выпуска. Отдельная короткая инструкция объясняет скачивание и установку на AutoCAD 2024. Обновляйте все три фасадных модуля вместе.</w:t>
      </w:r>
    </w:p>
    <w:p>
      <w:r>
        <w:t>Руководство охватывает зоны, раскладку, подсистему, ведомости и справочные команды параметров и узла. Оно не подтверждает живую приёмку AutoCAD и не превращает учебные параметры в проектное решение. Межэтажная система в режиме «по расчёту», полный монтажный узел с крепежом и автоматический подбор монтажного варианта пока не готовы.</w:t>
      </w:r>
    </w:p>
    <w:p>
      <w:bookmarkStart w:id="17" w:name="chapter_2"/>
      <w:pPr>
        <w:pStyle w:val="Heading1"/>
      </w:pPr>
      <w:r>
        <w:t>1 Что установлено и какой результат даёт каждый модуль</w:t>
      </w:r>
      <w:bookmarkEnd w:id="1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2" w:name="chapter_3"/>
      <w:pPr>
        <w:pStyle w:val="Heading1"/>
      </w:pPr>
      <w:r>
        <w:t>2 Установка трёх модулей</w:t>
      </w:r>
      <w:bookmarkEnd w:id="32"/>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сообщения загрузки AFacades, AClad и AFrame. Запишите номер скачанного выпуска и сохраните эти строки. Значение </w:t>
      </w:r>
      <w:r>
        <w:rPr>
          <w:rFonts w:ascii="DejaVu Sans Mono" w:hAnsi="DejaVu Sans Mono"/>
          <w:sz w:val="19"/>
        </w:rPr>
        <w:t>0.1.0</w:t>
      </w:r>
      <w:r>
        <w:t xml:space="preserve"> в свойствах пакета само по себе не различает выпуски.</w:t>
      </w:r>
    </w:p>
    <w:p>
      <w:r>
        <w:t>После загрузки программа сопоставляет версии трёх фасадных модулей. При несовпадении или отсутствии сведений появится одно предупреждение со списком проблемных модулей. Закройте AutoCAD, проверьте, откуда загружены DLL, уберите прежние копии и замените все три папки одним комплектом. Повторение ATFZONE при смешанных версиях проблему установки не исправляет.</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У AClad основная кнопка «Раскладка» вызывает ATTILE. На ленте и в классическом меню доступны команды из таблицы ниже. Если рабочее пространство скрывает панель, ту же команду можно ввести вручную.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99"/>
        <w:gridCol w:w="2069"/>
        <w:gridCol w:w="5312"/>
      </w:tblGrid>
      <w:tr>
        <w:trPr>
          <w:cantSplit/>
          <w:tblHeader/>
        </w:trPr>
        <w:tc>
          <w:tcPr>
            <w:tcW w:type="dxa" w:w="2699"/>
            <w:vAlign w:val="center"/>
            <w:tcMar>
              <w:top w:w="85" w:type="dxa"/>
              <w:bottom w:w="85" w:type="dxa"/>
              <w:left w:w="100" w:type="dxa"/>
              <w:right w:w="100" w:type="dxa"/>
            </w:tcMar>
            <w:shd w:fill="23485F"/>
          </w:tcPr>
          <w:p>
            <w:pPr>
              <w:spacing w:after="0" w:before="0" w:line="259" w:lineRule="auto"/>
            </w:pPr>
            <w:r>
              <w:rPr>
                <w:b/>
                <w:color w:val="FFFFFF"/>
                <w:sz w:val="20"/>
              </w:rPr>
              <w:t>Кнопка</w:t>
            </w:r>
          </w:p>
        </w:tc>
        <w:tc>
          <w:tcPr>
            <w:tcW w:type="dxa" w:w="2069"/>
            <w:vAlign w:val="center"/>
            <w:tcMar>
              <w:top w:w="85" w:type="dxa"/>
              <w:bottom w:w="85" w:type="dxa"/>
              <w:left w:w="100" w:type="dxa"/>
              <w:right w:w="100" w:type="dxa"/>
            </w:tcMar>
            <w:shd w:fill="23485F"/>
          </w:tcPr>
          <w:p>
            <w:pPr>
              <w:spacing w:after="0" w:before="0" w:line="259" w:lineRule="auto"/>
            </w:pPr>
            <w:r>
              <w:rPr>
                <w:b/>
                <w:color w:val="FFFFFF"/>
                <w:sz w:val="20"/>
              </w:rPr>
              <w:t>Команда</w:t>
            </w:r>
          </w:p>
        </w:tc>
        <w:tc>
          <w:tcPr>
            <w:tcW w:type="dxa" w:w="5312"/>
            <w:vAlign w:val="center"/>
            <w:tcMar>
              <w:top w:w="85" w:type="dxa"/>
              <w:bottom w:w="85" w:type="dxa"/>
              <w:left w:w="100" w:type="dxa"/>
              <w:right w:w="100" w:type="dxa"/>
            </w:tcMar>
            <w:shd w:fill="23485F"/>
          </w:tcPr>
          <w:p>
            <w:pPr>
              <w:spacing w:after="0" w:before="0" w:line="259" w:lineRule="auto"/>
            </w:pPr>
            <w:r>
              <w:rPr>
                <w:b/>
                <w:color w:val="FFFFFF"/>
                <w:sz w:val="20"/>
              </w:rPr>
              <w:t>Для чего нужна</w:t>
            </w:r>
          </w:p>
        </w:tc>
      </w:tr>
      <w:tr>
        <w:trPr>
          <w:cantSplit/>
        </w:trPr>
        <w:tc>
          <w:tcPr>
            <w:tcW w:type="dxa" w:w="2699"/>
            <w:vAlign w:val="center"/>
            <w:tcMar>
              <w:top w:w="85" w:type="dxa"/>
              <w:bottom w:w="85" w:type="dxa"/>
              <w:left w:w="100" w:type="dxa"/>
              <w:right w:w="100" w:type="dxa"/>
            </w:tcMar>
            <w:shd w:fill="FFFFFF"/>
          </w:tcPr>
          <w:p>
            <w:pPr>
              <w:spacing w:after="0" w:before="0" w:line="259" w:lineRule="auto"/>
            </w:pPr>
            <w:r>
              <w:rPr>
                <w:color w:val="000000"/>
                <w:sz w:val="20"/>
              </w:rPr>
              <w:t>Параметры проекта</w:t>
            </w:r>
          </w:p>
        </w:tc>
        <w:tc>
          <w:tcPr>
            <w:tcW w:type="dxa" w:w="2069"/>
            <w:vAlign w:val="center"/>
            <w:tcMar>
              <w:top w:w="85" w:type="dxa"/>
              <w:bottom w:w="85" w:type="dxa"/>
              <w:left w:w="100" w:type="dxa"/>
              <w:right w:w="100" w:type="dxa"/>
            </w:tcMar>
            <w:shd w:fill="FFFFFF"/>
          </w:tcPr>
          <w:p>
            <w:pPr>
              <w:spacing w:after="0" w:before="0" w:line="259" w:lineRule="auto"/>
            </w:pPr>
            <w:r>
              <w:rPr>
                <w:color w:val="000000"/>
                <w:sz w:val="20"/>
              </w:rPr>
              <w:t>ATFPROJECT</w:t>
            </w:r>
          </w:p>
        </w:tc>
        <w:tc>
          <w:tcPr>
            <w:tcW w:type="dxa" w:w="5312"/>
            <w:vAlign w:val="center"/>
            <w:tcMar>
              <w:top w:w="85" w:type="dxa"/>
              <w:bottom w:w="85" w:type="dxa"/>
              <w:left w:w="100" w:type="dxa"/>
              <w:right w:w="100" w:type="dxa"/>
            </w:tcMar>
            <w:shd w:fill="FFFFFF"/>
          </w:tcPr>
          <w:p>
            <w:pPr>
              <w:spacing w:after="0" w:before="0" w:line="259" w:lineRule="auto"/>
            </w:pPr>
            <w:r>
              <w:rPr>
                <w:color w:val="000000"/>
                <w:sz w:val="20"/>
              </w:rPr>
              <w:t>Общие параметры выбранного фасадного решения в DWG</w:t>
            </w:r>
          </w:p>
        </w:tc>
      </w:tr>
      <w:tr>
        <w:trPr>
          <w:cantSplit/>
        </w:trPr>
        <w:tc>
          <w:tcPr>
            <w:tcW w:type="dxa" w:w="2699"/>
            <w:vAlign w:val="center"/>
            <w:tcMar>
              <w:top w:w="85" w:type="dxa"/>
              <w:bottom w:w="85" w:type="dxa"/>
              <w:left w:w="100" w:type="dxa"/>
              <w:right w:w="100" w:type="dxa"/>
            </w:tcMar>
            <w:shd w:fill="F1F5F7"/>
          </w:tcPr>
          <w:p>
            <w:pPr>
              <w:spacing w:after="0" w:before="0" w:line="259" w:lineRule="auto"/>
            </w:pPr>
            <w:r>
              <w:rPr>
                <w:color w:val="000000"/>
                <w:sz w:val="20"/>
              </w:rPr>
              <w:t>Параметры зоны</w:t>
            </w:r>
          </w:p>
        </w:tc>
        <w:tc>
          <w:tcPr>
            <w:tcW w:type="dxa" w:w="2069"/>
            <w:vAlign w:val="center"/>
            <w:tcMar>
              <w:top w:w="85" w:type="dxa"/>
              <w:bottom w:w="85" w:type="dxa"/>
              <w:left w:w="100" w:type="dxa"/>
              <w:right w:w="100" w:type="dxa"/>
            </w:tcMar>
            <w:shd w:fill="F1F5F7"/>
          </w:tcPr>
          <w:p>
            <w:pPr>
              <w:spacing w:after="0" w:before="0" w:line="259" w:lineRule="auto"/>
            </w:pPr>
            <w:r>
              <w:rPr>
                <w:color w:val="000000"/>
                <w:sz w:val="20"/>
              </w:rPr>
              <w:t>ATFZONEPARAMS</w:t>
            </w:r>
          </w:p>
        </w:tc>
        <w:tc>
          <w:tcPr>
            <w:tcW w:type="dxa" w:w="5312"/>
            <w:vAlign w:val="center"/>
            <w:tcMar>
              <w:top w:w="85" w:type="dxa"/>
              <w:bottom w:w="85" w:type="dxa"/>
              <w:left w:w="100" w:type="dxa"/>
              <w:right w:w="100" w:type="dxa"/>
            </w:tcMar>
            <w:shd w:fill="F1F5F7"/>
          </w:tcPr>
          <w:p>
            <w:pPr>
              <w:spacing w:after="0" w:before="0" w:line="259" w:lineRule="auto"/>
            </w:pPr>
            <w:r>
              <w:rPr>
                <w:color w:val="000000"/>
                <w:sz w:val="20"/>
              </w:rPr>
              <w:t>Наследование, свои значения и снятие привязки зоны</w:t>
            </w:r>
          </w:p>
        </w:tc>
      </w:tr>
      <w:tr>
        <w:trPr>
          <w:cantSplit/>
        </w:trPr>
        <w:tc>
          <w:tcPr>
            <w:tcW w:type="dxa" w:w="2699"/>
            <w:vAlign w:val="center"/>
            <w:tcMar>
              <w:top w:w="85" w:type="dxa"/>
              <w:bottom w:w="85" w:type="dxa"/>
              <w:left w:w="100" w:type="dxa"/>
              <w:right w:w="100" w:type="dxa"/>
            </w:tcMar>
            <w:shd w:fill="FFFFFF"/>
          </w:tcPr>
          <w:p>
            <w:pPr>
              <w:spacing w:after="0" w:before="0" w:line="259" w:lineRule="auto"/>
            </w:pPr>
            <w:r>
              <w:rPr>
                <w:color w:val="000000"/>
                <w:sz w:val="20"/>
              </w:rPr>
              <w:t>Схема узла</w:t>
            </w:r>
          </w:p>
        </w:tc>
        <w:tc>
          <w:tcPr>
            <w:tcW w:type="dxa" w:w="2069"/>
            <w:vAlign w:val="center"/>
            <w:tcMar>
              <w:top w:w="85" w:type="dxa"/>
              <w:bottom w:w="85" w:type="dxa"/>
              <w:left w:w="100" w:type="dxa"/>
              <w:right w:w="100" w:type="dxa"/>
            </w:tcMar>
            <w:shd w:fill="FFFFFF"/>
          </w:tcPr>
          <w:p>
            <w:pPr>
              <w:spacing w:after="0" w:before="0" w:line="259" w:lineRule="auto"/>
            </w:pPr>
            <w:r>
              <w:rPr>
                <w:color w:val="000000"/>
                <w:sz w:val="20"/>
              </w:rPr>
              <w:t>ATFNODE</w:t>
            </w:r>
          </w:p>
        </w:tc>
        <w:tc>
          <w:tcPr>
            <w:tcW w:type="dxa" w:w="5312"/>
            <w:vAlign w:val="center"/>
            <w:tcMar>
              <w:top w:w="85" w:type="dxa"/>
              <w:bottom w:w="85" w:type="dxa"/>
              <w:left w:w="100" w:type="dxa"/>
              <w:right w:w="100" w:type="dxa"/>
            </w:tcMar>
            <w:shd w:fill="FFFFFF"/>
          </w:tcPr>
          <w:p>
            <w:pPr>
              <w:spacing w:after="0" w:before="0" w:line="259" w:lineRule="auto"/>
            </w:pPr>
            <w:r>
              <w:rPr>
                <w:color w:val="000000"/>
                <w:sz w:val="20"/>
              </w:rPr>
              <w:t>Справочная размерная схема и её проверка</w:t>
            </w:r>
          </w:p>
        </w:tc>
      </w:tr>
      <w:tr>
        <w:trPr>
          <w:cantSplit/>
        </w:trPr>
        <w:tc>
          <w:tcPr>
            <w:tcW w:type="dxa" w:w="2699"/>
            <w:vAlign w:val="center"/>
            <w:tcMar>
              <w:top w:w="85" w:type="dxa"/>
              <w:bottom w:w="85" w:type="dxa"/>
              <w:left w:w="100" w:type="dxa"/>
              <w:right w:w="100" w:type="dxa"/>
            </w:tcMar>
            <w:shd w:fill="F1F5F7"/>
          </w:tcPr>
          <w:p>
            <w:pPr>
              <w:spacing w:after="0" w:before="0" w:line="259" w:lineRule="auto"/>
            </w:pPr>
            <w:r>
              <w:rPr>
                <w:color w:val="000000"/>
                <w:sz w:val="20"/>
              </w:rPr>
              <w:t>Принять старую зону</w:t>
            </w:r>
          </w:p>
        </w:tc>
        <w:tc>
          <w:tcPr>
            <w:tcW w:type="dxa" w:w="2069"/>
            <w:vAlign w:val="center"/>
            <w:tcMar>
              <w:top w:w="85" w:type="dxa"/>
              <w:bottom w:w="85" w:type="dxa"/>
              <w:left w:w="100" w:type="dxa"/>
              <w:right w:w="100" w:type="dxa"/>
            </w:tcMar>
            <w:shd w:fill="F1F5F7"/>
          </w:tcPr>
          <w:p>
            <w:pPr>
              <w:spacing w:after="0" w:before="0" w:line="259" w:lineRule="auto"/>
            </w:pPr>
            <w:r>
              <w:rPr>
                <w:color w:val="000000"/>
                <w:sz w:val="20"/>
              </w:rPr>
              <w:t>ATFZONEACCEPT</w:t>
            </w:r>
          </w:p>
        </w:tc>
        <w:tc>
          <w:tcPr>
            <w:tcW w:type="dxa" w:w="5312"/>
            <w:vAlign w:val="center"/>
            <w:tcMar>
              <w:top w:w="85" w:type="dxa"/>
              <w:bottom w:w="85" w:type="dxa"/>
              <w:left w:w="100" w:type="dxa"/>
              <w:right w:w="100" w:type="dxa"/>
            </w:tcMar>
            <w:shd w:fill="F1F5F7"/>
          </w:tcPr>
          <w:p>
            <w:pPr>
              <w:spacing w:after="0" w:before="0" w:line="259" w:lineRule="auto"/>
            </w:pPr>
            <w:r>
              <w:rPr>
                <w:color w:val="000000"/>
                <w:sz w:val="20"/>
              </w:rPr>
              <w:t>Принятие существующих контуров старой зоны</w:t>
            </w:r>
          </w:p>
        </w:tc>
      </w:tr>
      <w:tr>
        <w:trPr>
          <w:cantSplit/>
        </w:trPr>
        <w:tc>
          <w:tcPr>
            <w:tcW w:type="dxa" w:w="2699"/>
            <w:vAlign w:val="center"/>
            <w:tcMar>
              <w:top w:w="85" w:type="dxa"/>
              <w:bottom w:w="85" w:type="dxa"/>
              <w:left w:w="100" w:type="dxa"/>
              <w:right w:w="100" w:type="dxa"/>
            </w:tcMar>
            <w:shd w:fill="FFFFFF"/>
          </w:tcPr>
          <w:p>
            <w:pPr>
              <w:spacing w:after="0" w:before="0" w:line="259" w:lineRule="auto"/>
            </w:pPr>
            <w:r>
              <w:rPr>
                <w:color w:val="000000"/>
                <w:sz w:val="20"/>
              </w:rPr>
              <w:t>Связи контуров</w:t>
            </w:r>
          </w:p>
        </w:tc>
        <w:tc>
          <w:tcPr>
            <w:tcW w:type="dxa" w:w="2069"/>
            <w:vAlign w:val="center"/>
            <w:tcMar>
              <w:top w:w="85" w:type="dxa"/>
              <w:bottom w:w="85" w:type="dxa"/>
              <w:left w:w="100" w:type="dxa"/>
              <w:right w:w="100" w:type="dxa"/>
            </w:tcMar>
            <w:shd w:fill="FFFFFF"/>
          </w:tcPr>
          <w:p>
            <w:pPr>
              <w:spacing w:after="0" w:before="0" w:line="259" w:lineRule="auto"/>
            </w:pPr>
            <w:r>
              <w:rPr>
                <w:color w:val="000000"/>
                <w:sz w:val="20"/>
              </w:rPr>
              <w:t>ATFZONERESET</w:t>
            </w:r>
          </w:p>
        </w:tc>
        <w:tc>
          <w:tcPr>
            <w:tcW w:type="dxa" w:w="5312"/>
            <w:vAlign w:val="center"/>
            <w:tcMar>
              <w:top w:w="85" w:type="dxa"/>
              <w:bottom w:w="85" w:type="dxa"/>
              <w:left w:w="100" w:type="dxa"/>
              <w:right w:w="100" w:type="dxa"/>
            </w:tcMar>
            <w:shd w:fill="FFFFFF"/>
          </w:tcPr>
          <w:p>
            <w:pPr>
              <w:spacing w:after="0" w:before="0" w:line="259" w:lineRule="auto"/>
            </w:pPr>
            <w:r>
              <w:rPr>
                <w:color w:val="000000"/>
                <w:sz w:val="20"/>
              </w:rPr>
              <w:t>Исправление старых связей линий откосов и парапета</w:t>
            </w:r>
          </w:p>
        </w:tc>
      </w:tr>
    </w:tbl>
    <w:p>
      <w:pPr>
        <w:spacing w:after="40"/>
      </w:pP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74" w:name="chapter_4"/>
      <w:pPr>
        <w:pStyle w:val="Heading1"/>
      </w:pPr>
      <w:r>
        <w:t>3 Пять правил перед первым чертежом</w:t>
      </w:r>
      <w:bookmarkEnd w:id="74"/>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88" w:name="chapter_5"/>
      <w:pPr>
        <w:pStyle w:val="Heading1"/>
      </w:pPr>
      <w:r>
        <w:t>4 Учебный фасад исходник и проверочные размеры</w:t>
      </w:r>
      <w:bookmarkEnd w:id="88"/>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Скачайте </w:t>
      </w:r>
      <w:hyperlink r:id="rId13">
        <w:r>
          <w:rPr>
            <w:color w:val="245D83"/>
          </w:rPr>
          <w:t>учебный исходник 01_source_rect.dxf</w:t>
        </w:r>
      </w:hyperlink>
      <w:r>
        <w:t xml:space="preserve"> и откройте его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14" w:name="chapter_6"/>
      <w:pPr>
        <w:pStyle w:val="Heading1"/>
      </w:pPr>
      <w:r>
        <w:t>5 Шаг 1 создать зону командой ATFZONE</w:t>
      </w:r>
      <w:bookmarkEnd w:id="114"/>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62" w:name="chapter_7"/>
      <w:pPr>
        <w:pStyle w:val="Heading1"/>
      </w:pPr>
      <w:r>
        <w:t>6 Шаг 2 разложить плитку командой ATTILE</w:t>
      </w:r>
      <w:bookmarkEnd w:id="162"/>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5"/>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6"/>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7"/>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17" w:name="chapter_8"/>
      <w:pPr>
        <w:pStyle w:val="Heading1"/>
      </w:pPr>
      <w:r>
        <w:t>7 Шаг 3 построить подсистему ATFRAME</w:t>
      </w:r>
      <w:bookmarkEnd w:id="217"/>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8"/>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9"/>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20"/>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pPr>
        <w:pStyle w:val="Heading2"/>
      </w:pPr>
      <w:r>
        <w:t>7 4 Проверка расчёта на фасаде с пятнадцатью окнами</w:t>
      </w:r>
    </w:p>
    <w:p>
      <w:r>
        <w:t>Это отдельное упражнение под керамогранит. Оно позволяет проверить исправление коротких направляющих и работу режима «по расчёту» на фасаде с окнами. Сначала выполните его по указанным исходным данным, затем переходите к своему объекту. Установленные здесь нагрузки и шаги служат повторяемости проверки программы.</w:t>
      </w:r>
    </w:p>
    <w:p>
      <w:r>
        <w:t xml:space="preserve">Скачайте </w:t>
      </w:r>
      <w:hyperlink r:id="rId21">
        <w:r>
          <w:rPr>
            <w:color w:val="245D83"/>
          </w:rPr>
          <w:t>Facade_18x12_15windows.dxf</w:t>
        </w:r>
      </w:hyperlink>
      <w:r>
        <w:t xml:space="preserve">. Откройте и сохраните его как </w:t>
      </w:r>
      <w:r>
        <w:rPr>
          <w:rFonts w:ascii="DejaVu Sans Mono" w:hAnsi="DejaVu Sans Mono"/>
          <w:sz w:val="19"/>
        </w:rPr>
        <w:t>Pilot_windows.dwg</w:t>
      </w:r>
      <w:r>
        <w:t xml:space="preserve"> в отдельной папке. В файле только наружный контур и 15 окон; готовых зон, раскладки и подсистемы нет. Обе стороны учебной стены считаем наружными углами здания.</w:t>
      </w:r>
    </w:p>
    <w:p>
      <w:pPr>
        <w:keepNext/>
        <w:jc w:val="center"/>
      </w:pPr>
      <w:r>
        <w:drawing>
          <wp:inline xmlns:a="http://schemas.openxmlformats.org/drawingml/2006/main" xmlns:pic="http://schemas.openxmlformats.org/drawingml/2006/picture">
            <wp:extent cx="6400800" cy="2510118"/>
            <wp:docPr id="9" name="Picture 9" descr="Учебные исходные контуры фасада 18 на 12 метров с пятнадцатью окнами и наружными углами по обоим краям"/>
            <wp:cNvGraphicFramePr>
              <a:graphicFrameLocks noChangeAspect="1"/>
            </wp:cNvGraphicFramePr>
            <a:graphic>
              <a:graphicData uri="http://schemas.openxmlformats.org/drawingml/2006/picture">
                <pic:pic>
                  <pic:nvPicPr>
                    <pic:cNvPr id="0" name="windows_source.png"/>
                    <pic:cNvPicPr/>
                  </pic:nvPicPr>
                  <pic:blipFill>
                    <a:blip r:embed="rId22"/>
                    <a:stretch>
                      <a:fillRect/>
                    </a:stretch>
                  </pic:blipFill>
                  <pic:spPr>
                    <a:xfrm>
                      <a:off x="0" y="0"/>
                      <a:ext cx="6400800" cy="2510118"/>
                    </a:xfrm>
                    <a:prstGeom prst="rect"/>
                  </pic:spPr>
                </pic:pic>
              </a:graphicData>
            </a:graphic>
          </wp:inline>
        </w:drawing>
      </w:r>
    </w:p>
    <w:p>
      <w:pPr>
        <w:pStyle w:val="Caption"/>
        <w:jc w:val="center"/>
      </w:pPr>
      <w:r>
        <w:t>Рисунок 9. Учебные исходные контуры фасада 18 на 12 метров с пятнадцатью окнами и наружными углами по обоим краям</w:t>
      </w:r>
    </w:p>
    <w:p>
      <w:r>
        <w:t>На рисунке показана схема исходников, не результат запуска AutoCAD. Стена: от 0,0 до 18000,12000 мм. Окна: 1500×1500 мм; их левые координаты X равны 1500, 4500, 7500, 10500 и 13500 мм, нижние Y — 1200, 4200 и 7200 мм. Такое описание позволяет восстановить исходник самостоятельно.</w:t>
      </w:r>
    </w:p>
    <w:p>
      <w:pPr>
        <w:ind w:left="317" w:hanging="317"/>
      </w:pPr>
      <w:r>
        <w:t xml:space="preserve">1. Выполните </w:t>
      </w:r>
      <w:r>
        <w:rPr>
          <w:b/>
        </w:rPr>
        <w:t>ATFZONE</w:t>
      </w:r>
      <w:r>
        <w:t xml:space="preserve">, выбрав наружный контур и все 15 окон. Создайте одну зону, сохраните JSON рядом с DWG. Проверьте площадь: 18×12 − 15×1,5×1,5 = </w:t>
      </w:r>
      <w:r>
        <w:rPr>
          <w:b/>
        </w:rPr>
        <w:t>182,25 м²</w:t>
      </w:r>
      <w:r>
        <w:t>.</w:t>
      </w:r>
    </w:p>
    <w:p>
      <w:pPr>
        <w:ind w:left="317" w:hanging="317"/>
      </w:pPr>
      <w:r>
        <w:t xml:space="preserve">2. До ATTILE вызовите </w:t>
      </w:r>
      <w:r>
        <w:rPr>
          <w:b/>
        </w:rPr>
        <w:t>ATFRAME</w:t>
      </w:r>
      <w:r>
        <w:t xml:space="preserve"> по этой зоне. Историческую карточку «Решение и каталог» здесь не выбирайте: у неё отдельные ограничения, описанные в главе 13.</w:t>
      </w:r>
    </w:p>
    <w:p>
      <w:pPr>
        <w:ind w:left="317" w:hanging="317"/>
      </w:pPr>
      <w:r>
        <w:t xml:space="preserve">3. Введите параметры из таблицы. После «Разложить» задайте первую ось точкой </w:t>
      </w:r>
      <w:r>
        <w:rPr>
          <w:b/>
        </w:rPr>
        <w:t>608,0</w:t>
      </w:r>
      <w:r>
        <w:t xml:space="preserve">, наружные углы точками </w:t>
      </w:r>
      <w:r>
        <w:rPr>
          <w:b/>
        </w:rPr>
        <w:t>0,0</w:t>
      </w:r>
      <w:r>
        <w:t xml:space="preserve"> и </w:t>
      </w:r>
      <w:r>
        <w:rPr>
          <w:b/>
        </w:rPr>
        <w:t>18000,0</w:t>
      </w:r>
      <w:r>
        <w:t>. Каждый список завершайте Enter.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4"/>
        <w:gridCol w:w="5096"/>
      </w:tblGrid>
      <w:tr>
        <w:trPr>
          <w:cantSplit/>
          <w:tblHeader/>
        </w:trPr>
        <w:tc>
          <w:tcPr>
            <w:tcW w:type="dxa" w:w="4984"/>
            <w:vAlign w:val="center"/>
            <w:tcMar>
              <w:top w:w="85" w:type="dxa"/>
              <w:bottom w:w="85" w:type="dxa"/>
              <w:left w:w="100" w:type="dxa"/>
              <w:right w:w="100" w:type="dxa"/>
            </w:tcMar>
            <w:shd w:fill="23485F"/>
          </w:tcPr>
          <w:p>
            <w:pPr>
              <w:spacing w:after="0" w:before="0" w:line="259" w:lineRule="auto"/>
            </w:pPr>
            <w:r>
              <w:rPr>
                <w:b/>
                <w:color w:val="FFFFFF"/>
                <w:sz w:val="20"/>
              </w:rPr>
              <w:t>Параметр</w:t>
            </w:r>
          </w:p>
        </w:tc>
        <w:tc>
          <w:tcPr>
            <w:tcW w:type="dxa" w:w="5096"/>
            <w:vAlign w:val="center"/>
            <w:tcMar>
              <w:top w:w="85" w:type="dxa"/>
              <w:bottom w:w="85" w:type="dxa"/>
              <w:left w:w="100" w:type="dxa"/>
              <w:right w:w="100" w:type="dxa"/>
            </w:tcMar>
            <w:shd w:fill="23485F"/>
          </w:tcPr>
          <w:p>
            <w:pPr>
              <w:spacing w:after="0" w:before="0" w:line="259" w:lineRule="auto"/>
            </w:pPr>
            <w:r>
              <w:rPr>
                <w:b/>
                <w:color w:val="FFFFFF"/>
                <w:sz w:val="20"/>
              </w:rPr>
              <w:t>Учебное значение</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Материал и состав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Керамогранит, только подсистема</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Схема и профиль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Вертикальная, профиль «Авто»</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Способ задания шагов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По расчёту несущей способности</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Район и местность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II и B</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Высота здания и масса облицовки</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30 м и 25 кг/м²</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Плечо расчёта и анкер</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230 мм и 3000 Н</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Шаг осей и горизонтальных швов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608 и 605 мм</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Старт кронштейна и зазор стыка</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300 и 10 мм</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Внешние углы</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Включены, обе точки указаны явно</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Отметки перекрытий</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Выключены</w:t>
            </w:r>
          </w:p>
        </w:tc>
      </w:tr>
    </w:tbl>
    <w:p>
      <w:pPr>
        <w:spacing w:after="40"/>
      </w:pPr>
    </w:p>
    <w:p>
      <w:r>
        <w:t xml:space="preserve">Увеличьте низ окон, простенки и верх стены над последним рядом окон. На каждом отдельном куске должно быть не меньше двух кронштейнов. Окна остаются пустыми, у обоих наружных краёв присутствуют направляющие. Для этих точных входов проверенный движок даёт </w:t>
      </w:r>
      <w:r>
        <w:rPr>
          <w:b/>
        </w:rPr>
        <w:t>148 направляющих и 553 кронштейна</w:t>
      </w:r>
      <w:r>
        <w:t>. Один участок получает дополнительную опору при локальном уменьшении шага. Это числовой ориентир упражнения, не норматив расхода и не результат уже выполненной живой проверки AutoCAD.</w:t>
      </w:r>
    </w:p>
    <w:p>
      <w:r>
        <w:t>При другом количестве или отказе сначала сохраните F2 и снимок нужного места. Не переходите сразу в ручной режим: иначе будет потерян исходный пример проблемы. Предыдущая подсистема, оставшаяся на экране после отказа, не является новым успешным результатом.</w:t>
      </w:r>
    </w:p>
    <w:p>
      <w:pPr>
        <w:pStyle w:val="Heading2"/>
      </w:pPr>
      <w:r>
        <w:t>7 5 Ручной вариант и полный проход по тем же окнам</w:t>
      </w:r>
    </w:p>
    <w:p>
      <w:r>
        <w:t xml:space="preserve">На отдельной копии исходной зоны повторите ATFRAME вручную: шаги </w:t>
      </w:r>
      <w:r>
        <w:rPr>
          <w:b/>
        </w:rPr>
        <w:t>800/800 мм</w:t>
      </w:r>
      <w:r>
        <w:t xml:space="preserve">, старт </w:t>
      </w:r>
      <w:r>
        <w:rPr>
          <w:b/>
        </w:rPr>
        <w:t>300 мм</w:t>
      </w:r>
      <w:r>
        <w:t xml:space="preserve">, зазор </w:t>
      </w:r>
      <w:r>
        <w:rPr>
          <w:b/>
        </w:rPr>
        <w:t>10 мм</w:t>
      </w:r>
      <w:r>
        <w:t xml:space="preserve">, те же оси и наружные углы. Для точных входов ожидаются </w:t>
      </w:r>
      <w:r>
        <w:rPr>
          <w:b/>
        </w:rPr>
        <w:t>148 направляющих и 552 кронштейна</w:t>
      </w:r>
      <w:r>
        <w:t>, без одноопорных хвостов. Эти ручные шаги не являются инженерным назначением для рабочего объекта.</w:t>
      </w:r>
    </w:p>
    <w:p>
      <w:r>
        <w:t xml:space="preserve">На следующей копии зоны выполните ATTILE: плита </w:t>
      </w:r>
      <w:r>
        <w:rPr>
          <w:b/>
        </w:rPr>
        <w:t>600×600 мм</w:t>
      </w:r>
      <w:r>
        <w:t xml:space="preserve">, шов </w:t>
      </w:r>
      <w:r>
        <w:rPr>
          <w:b/>
        </w:rPr>
        <w:t>10 мм</w:t>
      </w:r>
      <w:r>
        <w:t>, прямая раскладка. Проверьте, что окна свободны и крайние подрезки приемлемы. Заново постройте подсистему по этой раскладке с теми же наружными углами. Теперь оси берутся из облицовки, поэтому числа 148 и 553 из отдельного теста ручных осей уже не служат эталоном.</w:t>
      </w:r>
    </w:p>
    <w:p>
      <w:r>
        <w:t>Выдайте через ATFTABLE ведомости облицовки и подсистемы в DWG и XLSX. Сопоставьте несколько деталей и длин с чертежом. Сохраните и заново откройте проект; на копии измените одно окно и проверьте, что прежние данные требуют обновления. При отмене построения прежний результат должен сохраниться. Затем повторите цепочку на небольшом участке своего рабочего фасада с его исходными данными.</w:t>
      </w:r>
    </w:p>
    <w:p>
      <w:bookmarkStart w:id="313" w:name="chapter_9"/>
      <w:pPr>
        <w:pStyle w:val="Heading1"/>
      </w:pPr>
      <w:r>
        <w:t>8 Шаг 4 построить ведомость ATFTABLE</w:t>
      </w:r>
      <w:bookmarkEnd w:id="313"/>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и скопированная зона требуют восстановления по главе 10. Для старой зоны без контрольного снимка сначала выполните ATFZONEACCEPT по разделу 10.3, затем повторите зависимые результаты. Совпадение площади не отменяет проверку формы и положения контуров.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Точка новой таблицы переводится из текущей ПСК в мировые координаты. Таблица сохраняет прежнее направление; автоматически вслед за ПСК она не поворачивается. Смена ПСК после выбора точки вызывает отказ до записи. При «Обновить» используется прежнее место таблицы, новую точку задавать не нужно.</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упражнения 7.1–7.3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Это прямо описывается в сообщениях; прежние инженерные ограничения сохраняются,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В режиме расчёта свободные концы участвуют в поперечной проверке отдельного куска. Эта проверка не подтверждает фактическую передачу усилий и монтажное закрепление; их сверяют с проектным узлом.</w:t>
      </w:r>
    </w:p>
    <w:p>
      <w:r>
        <w:t xml:space="preserve">Один физический кронштейн, попавший в кандидаты нескольких отдельных кусков ГП, получает адресное предупреждение </w:t>
      </w:r>
      <w:r>
        <w:rPr>
          <w:b/>
        </w:rPr>
        <w:t>«Монтажная принадлежность не определена»</w:t>
      </w:r>
      <w:r>
        <w:t>. В строках затронутых направляющих показано число общих кандидатов-кронштейнов; в предупреждениях отчёта — ID кронштейна и всех связанных направляющих. Это неоднозначность геометрической схемы, а не установленная ошибка монтажа или назначенная опора. Сопоставьте перечисленные детали с проектным узлом; не удаляйте их ради исчезновения сообщения.</w:t>
      </w:r>
    </w:p>
    <w:p>
      <w:r>
        <w:t xml:space="preserve">Сообщение </w:t>
      </w:r>
      <w:r>
        <w:rPr>
          <w:b/>
        </w:rPr>
        <w:t>«ID есть в проверенном составе, но отсутствует среди ссылок кандидатов опор этого паспорта»</w:t>
      </w:r>
      <w:r>
        <w:t xml:space="preserve"> указывает ID кронштейна и его зону. Сверьте их с проектным узлом. Кронштейн остаётся в ведомости и не объявляется лишним; наличие и тип фактического крепления неизвестны. Ручные детали и результаты без доступного паспорта по этому признаку не оцениваются.</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Даже нулевой зазор между соседними кусками не объединяет их в непрерывный элемент.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 Такое предупреждение помогает найти место для проверки; оно не заменяет расчёт соединений и подбор монтажного варианта.</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463" w:name="chapter_10"/>
      <w:pPr>
        <w:pStyle w:val="Heading1"/>
      </w:pPr>
      <w:r>
        <w:t>9 Как проверять весь фасад не запутавшись в слоях</w:t>
      </w:r>
      <w:bookmarkEnd w:id="463"/>
    </w:p>
    <w:p>
      <w:pPr>
        <w:keepNext/>
        <w:jc w:val="center"/>
      </w:pPr>
      <w:r>
        <w:drawing>
          <wp:inline xmlns:a="http://schemas.openxmlformats.org/drawingml/2006/main" xmlns:pic="http://schemas.openxmlformats.org/drawingml/2006/picture">
            <wp:extent cx="6400800" cy="3254644"/>
            <wp:docPr id="10" name="Picture 10"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3"/>
                    <a:stretch>
                      <a:fillRect/>
                    </a:stretch>
                  </pic:blipFill>
                  <pic:spPr>
                    <a:xfrm>
                      <a:off x="0" y="0"/>
                      <a:ext cx="6400800" cy="3254644"/>
                    </a:xfrm>
                    <a:prstGeom prst="rect"/>
                  </pic:spPr>
                </pic:pic>
              </a:graphicData>
            </a:graphic>
          </wp:inline>
        </w:drawing>
      </w:r>
    </w:p>
    <w:p>
      <w:pPr>
        <w:pStyle w:val="Caption"/>
        <w:jc w:val="center"/>
      </w:pPr>
      <w:r>
        <w:t>Рисунок 10.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80" w:name="chapter_11"/>
      <w:pPr>
        <w:pStyle w:val="Heading1"/>
      </w:pPr>
      <w:r>
        <w:t>10 Изменения повторный запуск и отмена</w:t>
      </w:r>
      <w:bookmarkEnd w:id="480"/>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Для старой зоны без контрольного снимка сначала используйте «Принять старую зону» по разделу 10.3. Если исходные связи утрачены, потребуется восстановить зону.</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Принять старую зону без пересоздания</w:t>
      </w:r>
    </w:p>
    <w:p>
      <w:r>
        <w:t>Этот путь нужен для зоны, сделанной прежней версией программы и ещё не имеющей контрольного снимка. Он сохраняет контуры, штриховку, марку и номер зоны. Зона с уже существующим, но повреждённым снимком не превращается таким способом в «старую»; скопированные и неоднозначные связи также требуют восстановления.</w:t>
      </w:r>
    </w:p>
    <w:p>
      <w:pPr>
        <w:ind w:left="317" w:hanging="317"/>
      </w:pPr>
      <w:r>
        <w:t xml:space="preserve">1. Сохраните резервную копию пары DWG и её родного файла </w:t>
      </w:r>
      <w:r>
        <w:rPr>
          <w:rFonts w:ascii="DejaVu Sans Mono" w:hAnsi="DejaVu Sans Mono"/>
          <w:sz w:val="19"/>
        </w:rPr>
        <w:t>_fzones.json</w:t>
      </w:r>
      <w:r>
        <w:t xml:space="preserve">. Если через «Сохранить как» создан </w:t>
      </w:r>
      <w:r>
        <w:rPr>
          <w:rFonts w:ascii="DejaVu Sans Mono" w:hAnsi="DejaVu Sans Mono"/>
          <w:sz w:val="19"/>
        </w:rPr>
        <w:t>Pilot_copy.dwg</w:t>
      </w:r>
      <w:r>
        <w:t xml:space="preserve">, рядом положите копию прежнего JSON под именем </w:t>
      </w:r>
      <w:r>
        <w:rPr>
          <w:rFonts w:ascii="DejaVu Sans Mono" w:hAnsi="DejaVu Sans Mono"/>
          <w:sz w:val="19"/>
        </w:rPr>
        <w:t>Pilot_copy_fzones.json</w:t>
      </w:r>
      <w:r>
        <w:t>. Содержимое JSON вручную не меняйте; исходную пару сохраните отдельно. Если JSON утрачен, сначала восстановите его из своей резервной копии.</w:t>
      </w:r>
    </w:p>
    <w:p>
      <w:pPr>
        <w:ind w:left="317" w:hanging="317"/>
      </w:pPr>
      <w:r>
        <w:t xml:space="preserve">2. Нажмите </w:t>
      </w:r>
      <w:r>
        <w:rPr>
          <w:b/>
        </w:rPr>
        <w:t>«Принять старую зону»</w:t>
      </w:r>
      <w:r>
        <w:t xml:space="preserve"> или введите </w:t>
      </w:r>
      <w:r>
        <w:rPr>
          <w:b/>
        </w:rPr>
        <w:t>ATFZONEACCEPT</w:t>
      </w:r>
      <w:r>
        <w:t>. Выберите марку либо штриховку нужной старой зоны.</w:t>
      </w:r>
    </w:p>
    <w:p>
      <w:pPr>
        <w:ind w:left="317" w:hanging="317"/>
      </w:pPr>
      <w:r>
        <w:t>3. Прочитайте номер зоны и пересчитанную площадь. Сопоставьте с текущими контурами и окнами. Команда принимает именно их нынешнее положение как исходное; она не возвращает старую форму стены.</w:t>
      </w:r>
    </w:p>
    <w:p>
      <w:pPr>
        <w:ind w:left="317" w:hanging="317"/>
      </w:pPr>
      <w:r>
        <w:t xml:space="preserve">4. В ответ на запрос выберите </w:t>
      </w:r>
      <w:r>
        <w:rPr>
          <w:b/>
        </w:rPr>
        <w:t>«Принять»</w:t>
      </w:r>
      <w:r>
        <w:t xml:space="preserve">. Enter с вариантом по умолчанию </w:t>
      </w:r>
      <w:r>
        <w:rPr>
          <w:b/>
        </w:rPr>
        <w:t>«Отмена»</w:t>
      </w:r>
      <w:r>
        <w:t>, как и Esc, оставляет данные без изменений.</w:t>
      </w:r>
    </w:p>
    <w:p>
      <w:pPr>
        <w:ind w:left="317" w:hanging="317"/>
      </w:pPr>
      <w:r>
        <w:t>5. После принятия повторите нужную раскладку, ATFRAME и ведомости. Старые плитки, каркас, линии откосов и таблицы автоматически не перестраиваются и не получают подтверждения.</w:t>
      </w:r>
    </w:p>
    <w:p>
      <w:r>
        <w:t>При конфликте файлов или изменении исходников во время подтверждения повторите операцию после проверки. Если программа сообщает о восстановлении JSON из резервного файла, выполните именно это действие до продолжения. Undo возвращает изменения внутри DWG; внешний JSON в него не входит. После отката восстановите согласованную пару файлов либо повторно сохраните актуальные данные зоны.</w:t>
      </w:r>
    </w:p>
    <w:p>
      <w:pPr>
        <w:pStyle w:val="Heading2"/>
      </w:pPr>
      <w:r>
        <w:t>10 4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это старая зона без снимка, сначала выполните раздел 10.3. Если изменена геометрия уже современной зоны,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5 Старая схема линий и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6 Отмена и возврат</w:t>
      </w:r>
    </w:p>
    <w:p>
      <w:r>
        <w:t xml:space="preserve">Самый однозначный способ отказаться от генерации — кнопка «Отмена» в окне параметров до запуска. В ATFRAME при вводе ручных осей стоек, внешних углов и отметок перекрытий Enter завершает список и продолжает работу, а Esc отменяет команду до расчёта и замены прежних объектов, даже если часть точек уже указана.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541" w:name="chapter_12"/>
      <w:pPr>
        <w:pStyle w:val="Heading1"/>
      </w:pPr>
      <w:r>
        <w:t>11 Второе упражнение фронтон со скатами</w:t>
      </w:r>
      <w:bookmarkEnd w:id="541"/>
    </w:p>
    <w:p>
      <w:pPr>
        <w:keepNext/>
        <w:jc w:val="center"/>
      </w:pPr>
      <w:r>
        <w:drawing>
          <wp:inline xmlns:a="http://schemas.openxmlformats.org/drawingml/2006/main" xmlns:pic="http://schemas.openxmlformats.org/drawingml/2006/picture">
            <wp:extent cx="5651601" cy="5806439"/>
            <wp:docPr id="11" name="Picture 11"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4"/>
                    <a:stretch>
                      <a:fillRect/>
                    </a:stretch>
                  </pic:blipFill>
                  <pic:spPr>
                    <a:xfrm>
                      <a:off x="0" y="0"/>
                      <a:ext cx="5651601" cy="5806439"/>
                    </a:xfrm>
                    <a:prstGeom prst="rect"/>
                  </pic:spPr>
                </pic:pic>
              </a:graphicData>
            </a:graphic>
          </wp:inline>
        </w:drawing>
      </w:r>
    </w:p>
    <w:p>
      <w:pPr>
        <w:pStyle w:val="Caption"/>
        <w:jc w:val="center"/>
      </w:pPr>
      <w:r>
        <w:t>Рисунок 11. Фронтон с раскладкой</w:t>
      </w:r>
    </w:p>
    <w:p>
      <w:r>
        <w:t xml:space="preserve">Скачайте </w:t>
      </w:r>
      <w:hyperlink r:id="rId25">
        <w:r>
          <w:rPr>
            <w:color w:val="245D83"/>
          </w:rPr>
          <w:t>исходник фронтона 02_source_gable.dxf</w:t>
        </w:r>
      </w:hyperlink>
      <w:r>
        <w:t xml:space="preserve">, откройте его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557" w:name="chapter_13"/>
      <w:pPr>
        <w:pStyle w:val="Heading1"/>
      </w:pPr>
      <w:r>
        <w:t>12 ATTILE справочник режимов после первого урока</w:t>
      </w:r>
      <w:bookmarkEnd w:id="557"/>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593" w:name="chapter_14"/>
      <w:pPr>
        <w:pStyle w:val="Heading1"/>
      </w:pPr>
      <w:r>
        <w:t>13 ATFRAME какие режимы выбирать</w:t>
      </w:r>
      <w:bookmarkEnd w:id="593"/>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Вертикальная система и окна.</w:t>
      </w:r>
      <w:r>
        <w:t xml:space="preserve"> Само наличие окон больше не является причиной общего отказа. Каждый отдельный кусок профиля проверяется по реальному положению его опор, длинам пролётов и свободным концам. Рассчитываются в том числе куски с двумя опорами и одним пролётом, а также куски с разным числом пролётов на одном фасаде. Соседние куски через стык не считаются одним непрерывным профилем.</w:t>
      </w:r>
    </w:p>
    <w:p>
      <w:r>
        <w:t>Если отдельный кусок не проходит проверку, программа пробует локально уменьшить шаг кронштейнов в пределах существующего подбора, сохраняя профиль и отступы от торцов. Поэтому на таком участке опор может быть больше, чем следовало бы из общего шага. Общая с соседним куском опора не переносится. Если допустимого варианта нет, команда сохраняет прежнюю подсистему и сообщает конкретное место и нарушенную проверку. Проверяйте координаты и числа из сообщения, а не меняйте нагрузку ради исчезновения отказа.</w:t>
      </w:r>
    </w:p>
    <w:p>
      <w:r>
        <w:rPr>
          <w:b/>
        </w:rPr>
        <w:t>Короткие остатки.</w:t>
      </w:r>
      <w:r>
        <w:t xml:space="preserve"> При делении длинного профиля программа при необходимости перераспределяет последние два куска: маленький хвост после целого хлыста больше не оставляется на одной опоре. Сохраняются длина прогона, зазор, максимальная длина и заданные отметки перекрытий. Если сам исходный участок слишком короток для двух разных опор при принятых отступах, исправить его одной резкой нельзя. Программа откажет и в ручном режиме. Проверьте стык и геометрию участка по проекту; уменьшение отступа допустимо только как осознанное проектное решение.</w:t>
      </w:r>
    </w:p>
    <w:p>
      <w:r>
        <w:t xml:space="preserve">Успех этой проверки означает, что пройдена реализованная проверка поперечной нагрузки на отдельные куски. Распределение собственного веса, несущие и подвижные опоры, передача усилий через соединения и крепёж всего узла требуют отдельного инженерного подтверждения. Для геометрической проверки опор используйте </w:t>
      </w:r>
      <w:r>
        <w:rPr>
          <w:b/>
        </w:rPr>
        <w:t>ATFTABLE → Подсистема → Соединения</w:t>
      </w:r>
      <w:r>
        <w:t xml:space="preserve"> по разделу 8.9.</w:t>
      </w:r>
    </w:p>
    <w:p>
      <w:r>
        <w:rPr>
          <w:b/>
        </w:rPr>
        <w:t>Межэтажная система.</w:t>
      </w:r>
      <w:r>
        <w:t xml:space="preserve"> Автоматический расчёт пока недоступен: схема опор и соединений НСП требует отдельной реализации и подтверждения. Ручное построение доступно по проектным параметрам; оно не подтверждает несущую способность. Короткие неподдержанные участки могут быть отклонены ещё до расчёта.</w:t>
      </w:r>
    </w:p>
    <w:p>
      <w:r>
        <w:rPr>
          <w:b/>
        </w:rPr>
        <w:t>Ортогональная система.</w:t>
      </w:r>
      <w:r>
        <w:t xml:space="preserve"> Проверяется геометрия опор вертикальных кусков и ограниченная модель этих кусков. Горизонтальные элементы и соединения не становятся проверенной совместной пространственной системой. Не переносите результат расчёта вертикального профиля на весь ортогональный каркас.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w:t>
      </w:r>
    </w:p>
    <w:p>
      <w:r>
        <w:t>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к проекту.</w:t>
      </w:r>
    </w:p>
    <w:p>
      <w:pPr>
        <w:pStyle w:val="Heading2"/>
      </w:pPr>
      <w:r>
        <w:t>ATFNODE размерная схема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Прочитать монтажный отчёт</w:t>
      </w:r>
    </w:p>
    <w:p>
      <w:r>
        <w:t xml:space="preserve">После численного просмотра прокрутите текст вниз до раздела </w:t>
      </w:r>
      <w:r>
        <w:rPr>
          <w:b/>
        </w:rPr>
        <w:t>«Монтажная проверка выбранного решения»</w:t>
      </w:r>
      <w:r>
        <w:t>. Новых полей или отдельной команды для него нет. В отчёте показаны выбранные исполнения и размеры КР2, УК и ГП, а также страницы, листы и позиции первичного альбома. Значения L — заявленные длины изделий, а не результат подбора; размеры b/c ГП остаются проектными и не подтверждают расчётное сечение.</w:t>
      </w:r>
    </w:p>
    <w:p>
      <w:r>
        <w:t xml:space="preserve">В разделе </w:t>
      </w:r>
      <w:r>
        <w:rPr>
          <w:b/>
        </w:rPr>
        <w:t>«Номинальные базы по размерным линиям альбома»</w:t>
      </w:r>
      <w:r>
        <w:t xml:space="preserve"> показана уже определённая часть цепи. Она относится к плоской недеформированной схеме узла 4.2.1: КР2 прилегает к одной паронитовой прокладке ПП номинальной толщиной 2 мм, а ПП — к основанию. Дополнительных подкладок и зазоров нет; сжатие ПП, неровности, допуски и деформации здесь не вычисляются.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582"/>
        <w:gridCol w:w="4498"/>
      </w:tblGrid>
      <w:tr>
        <w:trPr>
          <w:cantSplit/>
          <w:tblHeader/>
        </w:trPr>
        <w:tc>
          <w:tcPr>
            <w:tcW w:type="dxa" w:w="5582"/>
            <w:vAlign w:val="center"/>
            <w:tcMar>
              <w:top w:w="85" w:type="dxa"/>
              <w:bottom w:w="85" w:type="dxa"/>
              <w:left w:w="100" w:type="dxa"/>
              <w:right w:w="100" w:type="dxa"/>
            </w:tcMar>
            <w:shd w:fill="23485F"/>
          </w:tcPr>
          <w:p>
            <w:pPr>
              <w:spacing w:after="0" w:before="0" w:line="259" w:lineRule="auto"/>
            </w:pPr>
            <w:r>
              <w:rPr>
                <w:b/>
                <w:color w:val="FFFFFF"/>
                <w:sz w:val="20"/>
              </w:rPr>
              <w:t>Номинальная база</w:t>
            </w:r>
          </w:p>
        </w:tc>
        <w:tc>
          <w:tcPr>
            <w:tcW w:type="dxa" w:w="4498"/>
            <w:vAlign w:val="center"/>
            <w:tcMar>
              <w:top w:w="85" w:type="dxa"/>
              <w:bottom w:w="85" w:type="dxa"/>
              <w:left w:w="100" w:type="dxa"/>
              <w:right w:w="100" w:type="dxa"/>
            </w:tcMar>
            <w:shd w:fill="23485F"/>
          </w:tcPr>
          <w:p>
            <w:pPr>
              <w:spacing w:after="0" w:before="0" w:line="259" w:lineRule="auto"/>
            </w:pPr>
            <w:r>
              <w:rPr>
                <w:b/>
                <w:color w:val="FFFFFF"/>
                <w:sz w:val="20"/>
              </w:rPr>
              <w:t>Координата x наружу от основания, мм</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Основание</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0</w:t>
            </w:r>
          </w:p>
        </w:tc>
      </w:tr>
      <w:tr>
        <w:trPr>
          <w:cantSplit/>
        </w:trPr>
        <w:tc>
          <w:tcPr>
            <w:tcW w:type="dxa" w:w="5582"/>
            <w:vAlign w:val="center"/>
            <w:tcMar>
              <w:top w:w="85" w:type="dxa"/>
              <w:bottom w:w="85" w:type="dxa"/>
              <w:left w:w="100" w:type="dxa"/>
              <w:right w:w="100" w:type="dxa"/>
            </w:tcMar>
            <w:shd w:fill="F1F5F7"/>
          </w:tcPr>
          <w:p>
            <w:pPr>
              <w:spacing w:after="0" w:before="0" w:line="259" w:lineRule="auto"/>
            </w:pPr>
            <w:r>
              <w:rPr>
                <w:color w:val="000000"/>
                <w:sz w:val="20"/>
              </w:rPr>
              <w:t>Наружная поверхность ПП и опорная поверхность КР2</w:t>
            </w:r>
          </w:p>
        </w:tc>
        <w:tc>
          <w:tcPr>
            <w:tcW w:type="dxa" w:w="4498"/>
            <w:vAlign w:val="center"/>
            <w:tcMar>
              <w:top w:w="85" w:type="dxa"/>
              <w:bottom w:w="85" w:type="dxa"/>
              <w:left w:w="100" w:type="dxa"/>
              <w:right w:w="100" w:type="dxa"/>
            </w:tcMar>
            <w:shd w:fill="F1F5F7"/>
          </w:tcPr>
          <w:p>
            <w:pPr>
              <w:spacing w:after="0" w:before="0" w:line="259" w:lineRule="auto"/>
            </w:pPr>
            <w:r>
              <w:rPr>
                <w:color w:val="000000"/>
                <w:sz w:val="20"/>
              </w:rPr>
              <w:t>2</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Свободный торец КР2</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2 + L КР2</w:t>
            </w:r>
          </w:p>
        </w:tc>
      </w:tr>
    </w:tbl>
    <w:p>
      <w:pPr>
        <w:spacing w:after="40"/>
      </w:pPr>
    </w:p>
    <w:p>
      <w:r>
        <w:t xml:space="preserve">При выбранной длине КР2 </w:t>
      </w:r>
      <w:r>
        <w:rPr>
          <w:b/>
        </w:rPr>
        <w:t>50 мм</w:t>
      </w:r>
      <w:r>
        <w:t xml:space="preserve"> номинальный торец находится на </w:t>
      </w:r>
      <w:r>
        <w:rPr>
          <w:b/>
        </w:rPr>
        <w:t>52 мм</w:t>
      </w:r>
      <w:r>
        <w:t xml:space="preserve">, при </w:t>
      </w:r>
      <w:r>
        <w:rPr>
          <w:b/>
        </w:rPr>
        <w:t>350 мм</w:t>
      </w:r>
      <w:r>
        <w:t xml:space="preserve"> — на </w:t>
      </w:r>
      <w:r>
        <w:rPr>
          <w:b/>
        </w:rPr>
        <w:t>352 мм</w:t>
      </w:r>
      <w:r>
        <w:t>. Размер L на листе 3.2.1 / PDF 6 уже отсчитан от наружной опорной поверхности лапки: толщину металла повторно не прибавляют. Толщина ПП взята с листа 3.2.2 / PDF 7. Эти координаты не являются положением ГП или наружной облицовки и не подтверждают фактическую установку. Число 2 мм также не выбирает типоразмер, контур или отверстие прокладки.</w:t>
      </w:r>
    </w:p>
    <w:p>
      <w:r>
        <w:t xml:space="preserve">Собственная длина УК на листе 3.3 / PDF 8 измерена от свободного торца до наружной стороны отогнутой лапки. Поэтому отчёт показывает </w:t>
      </w:r>
      <w:r>
        <w:rPr>
          <w:b/>
        </w:rPr>
        <w:t>x пятки УК = 2 + L КР2 + L УК − h</w:t>
      </w:r>
      <w:r>
        <w:t>. Здесь h — знаковая разность координат свободных торцов КР2 и УК. При положительном частичном вложении она описывает продольное перекрытие габаритов, но не разрешённую рабочую длину соединения. Число h, его допустимые пределы и положение УК пока не определены. Координату ближайшей поверхности ГП нельзя подставлять вместо координаты пятки УК.</w:t>
      </w:r>
    </w:p>
    <w:p>
      <w:r>
        <w:t xml:space="preserve">В списке остаются семь монтажных зависимостей. Первые две теперь </w:t>
      </w:r>
      <w:r>
        <w:rPr>
          <w:b/>
        </w:rPr>
        <w:t>частично подтверждены</w:t>
      </w:r>
      <w:r>
        <w:t xml:space="preserve"> по номинальной схеме; их применимость к фактической установке и продолжение цепи остаются отдельными вопросами:</w:t>
      </w:r>
    </w:p>
    <w:p>
      <w:pPr>
        <w:ind w:left="317" w:hanging="317"/>
      </w:pPr>
      <w:r>
        <w:t>• положение монтажной базы КР2 относительно стены — номинально определено;</w:t>
      </w:r>
    </w:p>
    <w:p>
      <w:pPr>
        <w:ind w:left="317" w:hanging="317"/>
      </w:pPr>
      <w:r>
        <w:t>• базы длины L кронштейна КР2 — номинальный торец определён;</w:t>
      </w:r>
    </w:p>
    <w:p>
      <w:pPr>
        <w:ind w:left="317" w:hanging="317"/>
      </w:pPr>
      <w:r>
        <w:t>• взаимное положение КР2–УК, перехлёст и диапазон регулировки;</w:t>
      </w:r>
    </w:p>
    <w:p>
      <w:pPr>
        <w:ind w:left="317" w:hanging="317"/>
      </w:pPr>
      <w:r>
        <w:t>• отверстия и закрепление КР2–УК;</w:t>
      </w:r>
    </w:p>
    <w:p>
      <w:pPr>
        <w:ind w:left="317" w:hanging="317"/>
      </w:pPr>
      <w:r>
        <w:t>• положение УК–ГП и ближайшей поверхности профиля;</w:t>
      </w:r>
    </w:p>
    <w:p>
      <w:pPr>
        <w:ind w:left="317" w:hanging="317"/>
      </w:pPr>
      <w:r>
        <w:t>• размерная цепь от ГП через кляммер до наружной облицовки;</w:t>
      </w:r>
    </w:p>
    <w:p>
      <w:pPr>
        <w:ind w:left="317" w:hanging="317"/>
      </w:pPr>
      <w:r>
        <w:t>• допустимость сочетания выбранных типоразмеров и исполнений.</w:t>
      </w:r>
    </w:p>
    <w:p>
      <w:r>
        <w:t>В том же альбоме на PDF 34, 37, 44 и 46 есть минимум 30 мм для пары КР2–УК в других типах системы. Это подтверждённые аналоги, но не установленное правило пилота 4.2.1: программа не назначает по ним h и не вычисляет допустимый ход как L УК − 30 мм.</w:t>
      </w:r>
    </w:p>
    <w:p>
      <w:r>
        <w:t xml:space="preserve">Статус </w:t>
      </w:r>
      <w:r>
        <w:rPr>
          <w:b/>
        </w:rPr>
        <w:t>«Монтажная пригодность: не подтверждена»</w:t>
      </w:r>
      <w:r>
        <w:t xml:space="preserve"> сохраняется, даже если известны все плоскости и локальный просвет выполнен. Он не означает, что выбранная пара заведомо непригодна: для заключения не хватает подтверждённых монтажных данных. Совпадение номинальных ширин также не доказывает совместимость. Отчёт не подбирает кронштейн автоматически и не назначает установленное физическое изделие.</w:t>
      </w:r>
    </w:p>
    <w:p>
      <w:r>
        <w:t>В предыдущем примере просвет 20 мм может быть выполнен при разных заявленных длинах КР2 и УК. Прочитайте выбранные L, номинальный торец КР2 и оставшиеся неизвестные связи; не складывайте длины как готовый вынос. Монтажный отчёт не меняет результат размерной проверки: допустимую схему можно вставить с прежними ограничениями, а запрет вставки при противоречии остаётся.</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После успешной проверки блока показывается и монтажный отчёт. Он заново составляется по проверенному действующему снимку, в том числе для ранее созданной схемы поддерживаемой версии; геометрия и служебные данные DWG при этом не меняются. Если проверка исходников или блока отклонена, актуальный монтажный отчёт не выдаётся.</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В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проверка может сообщить, что прежняя схема создана другой версией алгоритма.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используйте ATFNODE.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Наличие края выбранной зоны само по себе не обозначает внешний угол здания. При отсутствии явно заданных углов крайние направляющие могут отсутствовать. Для отдельной учебной стены задайте оба наружных края как углы; для фрагмента большой стены указывайте только действительные углы здания.</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791" w:name="chapter_15"/>
      <w:pPr>
        <w:pStyle w:val="Heading1"/>
      </w:pPr>
      <w:r>
        <w:t>14 Размеры и поиск дублей</w:t>
      </w:r>
      <w:bookmarkEnd w:id="791"/>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799" w:name="chapter_16"/>
      <w:pPr>
        <w:pStyle w:val="Heading1"/>
      </w:pPr>
      <w:r>
        <w:t>15 Зачем осталась команда ATCLAD</w:t>
      </w:r>
      <w:bookmarkEnd w:id="799"/>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807" w:name="chapter_17"/>
      <w:pPr>
        <w:pStyle w:val="Heading1"/>
      </w:pPr>
      <w:r>
        <w:t>16 Частые ошибки что делать по сообщению</w:t>
      </w:r>
      <w:bookmarkEnd w:id="80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Предупреждение о версиях модулей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Загружены разные выпуски или отсутствуют сведения о версии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Закрыть AutoCAD, убрать старые копии и установить три папки одного выпуска</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изменена либо зона создана старой версией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старой зоны сначала ATFZONEACCEPT по разделу 10.3; для изменённой современной зоны — раздел 10.2</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«Монтажная принадлежность не определена»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кронштейн — кандидат для нескольких отдельных кусков ГП; ошибка монтажа не установлена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Сверить ID кронштейна и направляющих из предупреждения с проектным узлом; совпадение не назначает опору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ID кронштейна отсутствует среди ссылок кандидатов опор</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проверенном составе деталь есть, а в паспорте нет ссылки на неё как на кандидата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Сверить ID и зону с проектным узлом; деталь не удалять как лишнюю по одному сообщению</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ATFTABLE сообщает «ПСК изменилась во время команды»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ПСК новой вставки изменена после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ATFTABLE при неизменной ПСК; прежняя таблица и файл сохраняются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Указан кусок с недостатком опор</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Исходный участок не вмещает две опоры при заданных отступах</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Найти участок по координатам; проверить стык, отступы и проектное решение. Ручной режим не снимает этот отказ</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Указана перегрузка конкретного куска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Профиль, кронштейн или анкер не проходят применённую проверку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Сопоставить исходные нагрузки и характеристики с проектом; не уменьшать их для обхода отказа</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раздел 10.5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863" w:name="chapter_18"/>
      <w:pPr>
        <w:pStyle w:val="Heading1"/>
      </w:pPr>
      <w:r>
        <w:t>17 Сохранение и передача результата</w:t>
      </w:r>
      <w:bookmarkEnd w:id="863"/>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Сохраните также монтажный отчёт с выбранными размерами, условиями номинальной цепи и перечнем оставшихся неподтверждённых связей.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xml:space="preserve">: храните соответствующий файл рядом с DWG. После «Сохранить как» под новым именем копируйте родной JSON в новую папку и называйте по новому DWG: для </w:t>
      </w:r>
      <w:r>
        <w:rPr>
          <w:rFonts w:ascii="DejaVu Sans Mono" w:hAnsi="DejaVu Sans Mono"/>
          <w:sz w:val="19"/>
        </w:rPr>
        <w:t>Facade_copy.dwg</w:t>
      </w:r>
      <w:r>
        <w:t xml:space="preserve"> нужен </w:t>
      </w:r>
      <w:r>
        <w:rPr>
          <w:rFonts w:ascii="DejaVu Sans Mono" w:hAnsi="DejaVu Sans Mono"/>
          <w:sz w:val="19"/>
        </w:rPr>
        <w:t>Facade_copy_fzones.json</w:t>
      </w:r>
      <w:r>
        <w:t>. Само сохранение DWG не означает автоматический перенос внешнего файла.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hyperlink r:id="rId26">
        <w:r>
          <w:rPr>
            <w:color w:val="245D83"/>
          </w:rPr>
          <w:t>03_reference_rect.dxf</w:t>
        </w:r>
      </w:hyperlink>
      <w:r>
        <w:t xml:space="preserve"> и </w:t>
      </w:r>
      <w:hyperlink r:id="rId27">
        <w:r>
          <w:rPr>
            <w:color w:val="245D83"/>
          </w:rPr>
          <w:t>04_reference_gable.dxf</w:t>
        </w:r>
      </w:hyperlink>
      <w:r>
        <w:t xml:space="preserve"> показывают геометрию результата, но </w:t>
      </w:r>
      <w:r>
        <w:rPr>
          <w:b/>
        </w:rPr>
        <w:t>не содержат созданных внутри AutoCAD служебных связей зон и команд построения</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877" w:name="chapter_19"/>
      <w:pPr>
        <w:pStyle w:val="Heading1"/>
      </w:pPr>
      <w:r>
        <w:t>18 Как сообщить о проблеме чтобы её можно было исправить</w:t>
      </w:r>
      <w:bookmarkEnd w:id="877"/>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883" w:name="chapter_20"/>
      <w:pPr>
        <w:pStyle w:val="Heading1"/>
      </w:pPr>
      <w:r>
        <w:t>19 Словарь начинающего пользователя</w:t>
      </w:r>
      <w:bookmarkEnd w:id="88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Локальный просвет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919" w:name="chapter_21"/>
      <w:pPr>
        <w:pStyle w:val="Heading1"/>
      </w:pPr>
      <w:r>
        <w:t>20 Финальная самопроверка первого урока</w:t>
      </w:r>
      <w:bookmarkEnd w:id="919"/>
    </w:p>
    <w:p>
      <w:r>
        <w:t>Урок выполнен, когда вы самостоятельно повторили цепочку и проверили результат:</w:t>
      </w:r>
    </w:p>
    <w:p>
      <w:pPr>
        <w:ind w:left="317" w:hanging="317"/>
      </w:pPr>
      <w:r>
        <w:t>• три модуля одного выпуска загрузились; номер записан, открыта соответствующая пара DWG и JSON;</w:t>
      </w:r>
    </w:p>
    <w:p>
      <w:pPr>
        <w:ind w:left="317" w:hanging="317"/>
      </w:pPr>
      <w:r>
        <w:t>• зона У-1 содержит два окна, площадь нетто равна 32,40 м²; новые проёмы явно включены в ATFZONE;</w:t>
      </w:r>
    </w:p>
    <w:p>
      <w:pPr>
        <w:ind w:left="317" w:hanging="317"/>
      </w:pPr>
      <w:r>
        <w:t>• плитка 290×82 мм, швы 7/7 мм, разбежка через ряд на 1/2 модуля, отсчёт ПН; окна свободны, подрезки и предупреждения просмотрены;</w:t>
      </w:r>
    </w:p>
    <w:p>
      <w:pPr>
        <w:ind w:left="317" w:hanging="317"/>
      </w:pPr>
      <w:r>
        <w:t>• ATFRAME прочитал ряды ATTILE и построил учебную вертикальную подсистему с шинами; после изменения исходников повторена вся цепочка;</w:t>
      </w:r>
    </w:p>
    <w:p>
      <w:pPr>
        <w:ind w:left="317" w:hanging="317"/>
      </w:pPr>
      <w:r>
        <w:t>• ведомости получены в DWG и XLSX; площади, погонажи и выбранные детали сверены с чертежом;</w:t>
      </w:r>
    </w:p>
    <w:p>
      <w:pPr>
        <w:ind w:left="317" w:hanging="317"/>
      </w:pPr>
      <w:r>
        <w:t>• ведомость облицовки показывает 1331 установленную деталь точного первого урока; заготовки и отходы не прибавлены к этому числу;</w:t>
      </w:r>
    </w:p>
    <w:p>
      <w:pPr>
        <w:ind w:left="317" w:hanging="317"/>
      </w:pPr>
      <w:r>
        <w:t>• ведомость подсистемы проверена по категориям и длинам; оценка хлыстов отделена от установленного состава и не принята за закупку;</w:t>
      </w:r>
    </w:p>
    <w:p>
      <w:pPr>
        <w:ind w:left="317" w:hanging="317"/>
      </w:pPr>
      <w:r>
        <w:t>• понятны границы результата: учебная геометрия не является готовым проектом, паспорт соединений не поддерживает этот пример бетонной плитки, ограниченный расчёт не подтверждает весь монтажный узел;</w:t>
      </w:r>
    </w:p>
    <w:p>
      <w:pPr>
        <w:ind w:left="317" w:hanging="317"/>
      </w:pPr>
      <w:r>
        <w:t>• известно, какие исходники и команды обновлять; сохранены рабочая пара файлов и контрольная копия до экспериментов.</w:t>
      </w:r>
    </w:p>
    <w:p>
      <w:r>
        <w:t>Следующие учебные шаги — фасад с пятнадцатью окнами из разделов 7.4–7.5, другой рисунок ATTILE и фронтон. Рабочий объект начинайте с одной небольшой зоны, сверенной вручную, затем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releases/tag/build-106" TargetMode="External"/><Relationship Id="rId12" Type="http://schemas.openxmlformats.org/officeDocument/2006/relationships/image" Target="media/image1.png"/><Relationship Id="rId13" Type="http://schemas.openxmlformats.org/officeDocument/2006/relationships/hyperlink" Target="https://github.com/zinchenko-denis/AutoCAD/raw/refs/heads/feat/auto-reactor/docs/facades_beginner_3009/assets/01_source_rect.dxf"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yperlink" Target="https://github.com/zinchenko-denis/AutoCAD/raw/refs/heads/feat/auto-reactor/docs/pilot/assets/Facade_18x12_15windows.dxf" TargetMode="External"/><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github.com/zinchenko-denis/AutoCAD/raw/refs/heads/feat/auto-reactor/docs/facades_beginner_3009/assets/02_source_gable.dxf" TargetMode="External"/><Relationship Id="rId26" Type="http://schemas.openxmlformats.org/officeDocument/2006/relationships/hyperlink" Target="https://github.com/zinchenko-denis/AutoCAD/raw/refs/heads/feat/auto-reactor/docs/facades_beginner_3009/assets/03_reference_rect.dxf" TargetMode="External"/><Relationship Id="rId27" Type="http://schemas.openxmlformats.org/officeDocument/2006/relationships/hyperlink" Target="https://github.com/zinchenko-denis/AutoCAD/raw/refs/heads/feat/auto-reactor/docs/facades_beginner_3009/assets/04_reference_gable.dx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cp:keywords>
  <dc:description>generated by python-docx</dc:description>
  <cp:lastModifiedBy/>
  <cp:revision>1</cp:revision>
  <dcterms:created xsi:type="dcterms:W3CDTF">2013-12-23T23:15:00Z</dcterms:created>
  <dcterms:modified xsi:type="dcterms:W3CDTF">2013-12-23T23:15:00Z</dcterms:modified>
  <cp:category/>
</cp:coreProperties>
</file>