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w:t>
      </w:r>
      <w:r>
        <w:rPr>
          <w:b/>
        </w:rPr>
        <w:t>build-107 — AFacades + AClad + AFrame</w:t>
      </w:r>
      <w:r>
        <w:t xml:space="preserve">. Скачайте три фасадных модуля со </w:t>
      </w:r>
      <w:hyperlink r:id="rId11">
        <w:r>
          <w:rPr>
            <w:color w:val="245D83"/>
          </w:rPr>
          <w:t>страницы выпуска 107 на GitHub</w:t>
        </w:r>
      </w:hyperlink>
      <w:r>
        <w:t>. Руководство описывает команды и поля окон этого выпуска. Целевая среда комплекта: полный AutoCAD для Windows, 64-разрядный, версии 2021–2024; для первого испытания Германа — AutoCAD 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от 2 октября 2026 года для выпуска build-107. Перед занятием установите AFacades, AClad и AFrame из этого выпуска. Живая проверка в AutoCAD ещё предстоит.</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Руководство предназначено для выпуска build-107.</w:t>
      </w:r>
      <w:r>
        <w:t xml:space="preserve"> Короткий участок у окна больше не останавливает построение всего фасада. В ручном режиме на участке длиной до 600 мм включительно при старте 300 мм ставится один кронштейн по центру. В режиме «по расчёту» геометрия также строится, а непроверенные и перегруженные куски выделяются красным. Причины доступны в F2 и ведомости подсистемы, включая Excel. Построение с замечаниями не означает, что расчёт прошёл.</w:t>
      </w:r>
    </w:p>
    <w:p>
      <w:r>
        <w:rPr>
          <w:b/>
        </w:rPr>
        <w:t>В прежних архивах build-106 этого исправления нет.</w:t>
      </w:r>
      <w:r>
        <w:t xml:space="preserve"> Откройте </w:t>
      </w:r>
      <w:hyperlink r:id="rId11">
        <w:r>
          <w:rPr>
            <w:color w:val="245D83"/>
          </w:rPr>
          <w:t>выпуск build-107 на GitHub</w:t>
        </w:r>
      </w:hyperlink>
      <w:r>
        <w:t>, прочитайте его описание и скачайте AFacades, AClad и AFrame из этого выпуска. Отдельная короткая инструкция объясняет скачивание и установку на AutoCAD 2024. Обновляйте все три фасадных модуля вместе. Принятие старых зон, проверка версий и новые кнопки ленты сохранены.</w:t>
      </w:r>
    </w:p>
    <w:p>
      <w:r>
        <w:t>Руководство охватывает зоны, раскладку, подсистему, ведомости и справочные команды параметров и узла. Оно не подтверждает живую приёмку AutoCAD и не превращает учебные параметры в проектное решение. Межэтажная система в режиме «по расчёту», полный монтажный узел с крепежом и автоматический подбор монтажного варианта пока не готовы.</w:t>
      </w:r>
    </w:p>
    <w:p>
      <w:bookmarkStart w:id="17" w:name="chapter_2"/>
      <w:pPr>
        <w:pStyle w:val="Heading1"/>
      </w:pPr>
      <w:r>
        <w:t>1 Что установлено и какой результат даёт каждый модуль</w:t>
      </w:r>
      <w:bookmarkEnd w:id="1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2" w:name="chapter_3"/>
      <w:pPr>
        <w:pStyle w:val="Heading1"/>
      </w:pPr>
      <w:r>
        <w:t>2 Установка трёх модулей</w:t>
      </w:r>
      <w:bookmarkEnd w:id="32"/>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сообщения загрузки AFacades, AClad и AFrame. Запишите номер скачанного выпуска и сохраните эти строки. Значение </w:t>
      </w:r>
      <w:r>
        <w:rPr>
          <w:rFonts w:ascii="DejaVu Sans Mono" w:hAnsi="DejaVu Sans Mono"/>
          <w:sz w:val="19"/>
        </w:rPr>
        <w:t>0.1.0</w:t>
      </w:r>
      <w:r>
        <w:t xml:space="preserve"> в свойствах пакета само по себе не различает выпуски.</w:t>
      </w:r>
    </w:p>
    <w:p>
      <w:r>
        <w:t>После загрузки программа сопоставляет версии трёх фасадных модулей. При несовпадении или отсутствии сведений появится одно предупреждение со списком проблемных модулей. Закройте AutoCAD, проверьте, откуда загружены DLL, уберите прежние копии и замените все три папки одним комплектом. Повторение ATFZONE при смешанных версиях проблему установки не исправляет.</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У AClad основная кнопка «Раскладка» вызывает ATTILE. На ленте и в классическом меню доступны команды из таблицы ниже. Если рабочее пространство скрывает панель, ту же команду можно ввести вручную.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99"/>
        <w:gridCol w:w="2069"/>
        <w:gridCol w:w="5312"/>
      </w:tblGrid>
      <w:tr>
        <w:trPr>
          <w:cantSplit/>
          <w:tblHeader/>
        </w:trPr>
        <w:tc>
          <w:tcPr>
            <w:tcW w:type="dxa" w:w="2699"/>
            <w:vAlign w:val="center"/>
            <w:tcMar>
              <w:top w:w="85" w:type="dxa"/>
              <w:bottom w:w="85" w:type="dxa"/>
              <w:left w:w="100" w:type="dxa"/>
              <w:right w:w="100" w:type="dxa"/>
            </w:tcMar>
            <w:shd w:fill="23485F"/>
          </w:tcPr>
          <w:p>
            <w:pPr>
              <w:spacing w:after="0" w:before="0" w:line="259" w:lineRule="auto"/>
            </w:pPr>
            <w:r>
              <w:rPr>
                <w:b/>
                <w:color w:val="FFFFFF"/>
                <w:sz w:val="20"/>
              </w:rPr>
              <w:t>Кнопка</w:t>
            </w:r>
          </w:p>
        </w:tc>
        <w:tc>
          <w:tcPr>
            <w:tcW w:type="dxa" w:w="2069"/>
            <w:vAlign w:val="center"/>
            <w:tcMar>
              <w:top w:w="85" w:type="dxa"/>
              <w:bottom w:w="85" w:type="dxa"/>
              <w:left w:w="100" w:type="dxa"/>
              <w:right w:w="100" w:type="dxa"/>
            </w:tcMar>
            <w:shd w:fill="23485F"/>
          </w:tcPr>
          <w:p>
            <w:pPr>
              <w:spacing w:after="0" w:before="0" w:line="259" w:lineRule="auto"/>
            </w:pPr>
            <w:r>
              <w:rPr>
                <w:b/>
                <w:color w:val="FFFFFF"/>
                <w:sz w:val="20"/>
              </w:rPr>
              <w:t>Команда</w:t>
            </w:r>
          </w:p>
        </w:tc>
        <w:tc>
          <w:tcPr>
            <w:tcW w:type="dxa" w:w="5312"/>
            <w:vAlign w:val="center"/>
            <w:tcMar>
              <w:top w:w="85" w:type="dxa"/>
              <w:bottom w:w="85" w:type="dxa"/>
              <w:left w:w="100" w:type="dxa"/>
              <w:right w:w="100" w:type="dxa"/>
            </w:tcMar>
            <w:shd w:fill="23485F"/>
          </w:tcPr>
          <w:p>
            <w:pPr>
              <w:spacing w:after="0" w:before="0" w:line="259" w:lineRule="auto"/>
            </w:pPr>
            <w:r>
              <w:rPr>
                <w:b/>
                <w:color w:val="FFFFFF"/>
                <w:sz w:val="20"/>
              </w:rPr>
              <w:t>Для чего нужна</w:t>
            </w:r>
          </w:p>
        </w:tc>
      </w:tr>
      <w:tr>
        <w:trPr>
          <w:cantSplit/>
        </w:trPr>
        <w:tc>
          <w:tcPr>
            <w:tcW w:type="dxa" w:w="2699"/>
            <w:vAlign w:val="center"/>
            <w:tcMar>
              <w:top w:w="85" w:type="dxa"/>
              <w:bottom w:w="85" w:type="dxa"/>
              <w:left w:w="100" w:type="dxa"/>
              <w:right w:w="100" w:type="dxa"/>
            </w:tcMar>
            <w:shd w:fill="FFFFFF"/>
          </w:tcPr>
          <w:p>
            <w:pPr>
              <w:spacing w:after="0" w:before="0" w:line="259" w:lineRule="auto"/>
            </w:pPr>
            <w:r>
              <w:rPr>
                <w:color w:val="000000"/>
                <w:sz w:val="20"/>
              </w:rPr>
              <w:t>Параметры проекта</w:t>
            </w:r>
          </w:p>
        </w:tc>
        <w:tc>
          <w:tcPr>
            <w:tcW w:type="dxa" w:w="2069"/>
            <w:vAlign w:val="center"/>
            <w:tcMar>
              <w:top w:w="85" w:type="dxa"/>
              <w:bottom w:w="85" w:type="dxa"/>
              <w:left w:w="100" w:type="dxa"/>
              <w:right w:w="100" w:type="dxa"/>
            </w:tcMar>
            <w:shd w:fill="FFFFFF"/>
          </w:tcPr>
          <w:p>
            <w:pPr>
              <w:spacing w:after="0" w:before="0" w:line="259" w:lineRule="auto"/>
            </w:pPr>
            <w:r>
              <w:rPr>
                <w:color w:val="000000"/>
                <w:sz w:val="20"/>
              </w:rPr>
              <w:t>ATFPROJECT</w:t>
            </w:r>
          </w:p>
        </w:tc>
        <w:tc>
          <w:tcPr>
            <w:tcW w:type="dxa" w:w="5312"/>
            <w:vAlign w:val="center"/>
            <w:tcMar>
              <w:top w:w="85" w:type="dxa"/>
              <w:bottom w:w="85" w:type="dxa"/>
              <w:left w:w="100" w:type="dxa"/>
              <w:right w:w="100" w:type="dxa"/>
            </w:tcMar>
            <w:shd w:fill="FFFFFF"/>
          </w:tcPr>
          <w:p>
            <w:pPr>
              <w:spacing w:after="0" w:before="0" w:line="259" w:lineRule="auto"/>
            </w:pPr>
            <w:r>
              <w:rPr>
                <w:color w:val="000000"/>
                <w:sz w:val="20"/>
              </w:rPr>
              <w:t>Общие параметры выбранного фасадного решения в DWG</w:t>
            </w:r>
          </w:p>
        </w:tc>
      </w:tr>
      <w:tr>
        <w:trPr>
          <w:cantSplit/>
        </w:trPr>
        <w:tc>
          <w:tcPr>
            <w:tcW w:type="dxa" w:w="2699"/>
            <w:vAlign w:val="center"/>
            <w:tcMar>
              <w:top w:w="85" w:type="dxa"/>
              <w:bottom w:w="85" w:type="dxa"/>
              <w:left w:w="100" w:type="dxa"/>
              <w:right w:w="100" w:type="dxa"/>
            </w:tcMar>
            <w:shd w:fill="F1F5F7"/>
          </w:tcPr>
          <w:p>
            <w:pPr>
              <w:spacing w:after="0" w:before="0" w:line="259" w:lineRule="auto"/>
            </w:pPr>
            <w:r>
              <w:rPr>
                <w:color w:val="000000"/>
                <w:sz w:val="20"/>
              </w:rPr>
              <w:t>Параметры зоны</w:t>
            </w:r>
          </w:p>
        </w:tc>
        <w:tc>
          <w:tcPr>
            <w:tcW w:type="dxa" w:w="2069"/>
            <w:vAlign w:val="center"/>
            <w:tcMar>
              <w:top w:w="85" w:type="dxa"/>
              <w:bottom w:w="85" w:type="dxa"/>
              <w:left w:w="100" w:type="dxa"/>
              <w:right w:w="100" w:type="dxa"/>
            </w:tcMar>
            <w:shd w:fill="F1F5F7"/>
          </w:tcPr>
          <w:p>
            <w:pPr>
              <w:spacing w:after="0" w:before="0" w:line="259" w:lineRule="auto"/>
            </w:pPr>
            <w:r>
              <w:rPr>
                <w:color w:val="000000"/>
                <w:sz w:val="20"/>
              </w:rPr>
              <w:t>ATFZONEPARAMS</w:t>
            </w:r>
          </w:p>
        </w:tc>
        <w:tc>
          <w:tcPr>
            <w:tcW w:type="dxa" w:w="5312"/>
            <w:vAlign w:val="center"/>
            <w:tcMar>
              <w:top w:w="85" w:type="dxa"/>
              <w:bottom w:w="85" w:type="dxa"/>
              <w:left w:w="100" w:type="dxa"/>
              <w:right w:w="100" w:type="dxa"/>
            </w:tcMar>
            <w:shd w:fill="F1F5F7"/>
          </w:tcPr>
          <w:p>
            <w:pPr>
              <w:spacing w:after="0" w:before="0" w:line="259" w:lineRule="auto"/>
            </w:pPr>
            <w:r>
              <w:rPr>
                <w:color w:val="000000"/>
                <w:sz w:val="20"/>
              </w:rPr>
              <w:t>Наследование, свои значения и снятие привязки зоны</w:t>
            </w:r>
          </w:p>
        </w:tc>
      </w:tr>
      <w:tr>
        <w:trPr>
          <w:cantSplit/>
        </w:trPr>
        <w:tc>
          <w:tcPr>
            <w:tcW w:type="dxa" w:w="2699"/>
            <w:vAlign w:val="center"/>
            <w:tcMar>
              <w:top w:w="85" w:type="dxa"/>
              <w:bottom w:w="85" w:type="dxa"/>
              <w:left w:w="100" w:type="dxa"/>
              <w:right w:w="100" w:type="dxa"/>
            </w:tcMar>
            <w:shd w:fill="FFFFFF"/>
          </w:tcPr>
          <w:p>
            <w:pPr>
              <w:spacing w:after="0" w:before="0" w:line="259" w:lineRule="auto"/>
            </w:pPr>
            <w:r>
              <w:rPr>
                <w:color w:val="000000"/>
                <w:sz w:val="20"/>
              </w:rPr>
              <w:t>Схема узла</w:t>
            </w:r>
          </w:p>
        </w:tc>
        <w:tc>
          <w:tcPr>
            <w:tcW w:type="dxa" w:w="2069"/>
            <w:vAlign w:val="center"/>
            <w:tcMar>
              <w:top w:w="85" w:type="dxa"/>
              <w:bottom w:w="85" w:type="dxa"/>
              <w:left w:w="100" w:type="dxa"/>
              <w:right w:w="100" w:type="dxa"/>
            </w:tcMar>
            <w:shd w:fill="FFFFFF"/>
          </w:tcPr>
          <w:p>
            <w:pPr>
              <w:spacing w:after="0" w:before="0" w:line="259" w:lineRule="auto"/>
            </w:pPr>
            <w:r>
              <w:rPr>
                <w:color w:val="000000"/>
                <w:sz w:val="20"/>
              </w:rPr>
              <w:t>ATFNODE</w:t>
            </w:r>
          </w:p>
        </w:tc>
        <w:tc>
          <w:tcPr>
            <w:tcW w:type="dxa" w:w="5312"/>
            <w:vAlign w:val="center"/>
            <w:tcMar>
              <w:top w:w="85" w:type="dxa"/>
              <w:bottom w:w="85" w:type="dxa"/>
              <w:left w:w="100" w:type="dxa"/>
              <w:right w:w="100" w:type="dxa"/>
            </w:tcMar>
            <w:shd w:fill="FFFFFF"/>
          </w:tcPr>
          <w:p>
            <w:pPr>
              <w:spacing w:after="0" w:before="0" w:line="259" w:lineRule="auto"/>
            </w:pPr>
            <w:r>
              <w:rPr>
                <w:color w:val="000000"/>
                <w:sz w:val="20"/>
              </w:rPr>
              <w:t>Справочная размерная схема и её проверка</w:t>
            </w:r>
          </w:p>
        </w:tc>
      </w:tr>
      <w:tr>
        <w:trPr>
          <w:cantSplit/>
        </w:trPr>
        <w:tc>
          <w:tcPr>
            <w:tcW w:type="dxa" w:w="2699"/>
            <w:vAlign w:val="center"/>
            <w:tcMar>
              <w:top w:w="85" w:type="dxa"/>
              <w:bottom w:w="85" w:type="dxa"/>
              <w:left w:w="100" w:type="dxa"/>
              <w:right w:w="100" w:type="dxa"/>
            </w:tcMar>
            <w:shd w:fill="F1F5F7"/>
          </w:tcPr>
          <w:p>
            <w:pPr>
              <w:spacing w:after="0" w:before="0" w:line="259" w:lineRule="auto"/>
            </w:pPr>
            <w:r>
              <w:rPr>
                <w:color w:val="000000"/>
                <w:sz w:val="20"/>
              </w:rPr>
              <w:t>Принять старую зону</w:t>
            </w:r>
          </w:p>
        </w:tc>
        <w:tc>
          <w:tcPr>
            <w:tcW w:type="dxa" w:w="2069"/>
            <w:vAlign w:val="center"/>
            <w:tcMar>
              <w:top w:w="85" w:type="dxa"/>
              <w:bottom w:w="85" w:type="dxa"/>
              <w:left w:w="100" w:type="dxa"/>
              <w:right w:w="100" w:type="dxa"/>
            </w:tcMar>
            <w:shd w:fill="F1F5F7"/>
          </w:tcPr>
          <w:p>
            <w:pPr>
              <w:spacing w:after="0" w:before="0" w:line="259" w:lineRule="auto"/>
            </w:pPr>
            <w:r>
              <w:rPr>
                <w:color w:val="000000"/>
                <w:sz w:val="20"/>
              </w:rPr>
              <w:t>ATFZONEACCEPT</w:t>
            </w:r>
          </w:p>
        </w:tc>
        <w:tc>
          <w:tcPr>
            <w:tcW w:type="dxa" w:w="5312"/>
            <w:vAlign w:val="center"/>
            <w:tcMar>
              <w:top w:w="85" w:type="dxa"/>
              <w:bottom w:w="85" w:type="dxa"/>
              <w:left w:w="100" w:type="dxa"/>
              <w:right w:w="100" w:type="dxa"/>
            </w:tcMar>
            <w:shd w:fill="F1F5F7"/>
          </w:tcPr>
          <w:p>
            <w:pPr>
              <w:spacing w:after="0" w:before="0" w:line="259" w:lineRule="auto"/>
            </w:pPr>
            <w:r>
              <w:rPr>
                <w:color w:val="000000"/>
                <w:sz w:val="20"/>
              </w:rPr>
              <w:t>Принятие существующих контуров старой зоны</w:t>
            </w:r>
          </w:p>
        </w:tc>
      </w:tr>
      <w:tr>
        <w:trPr>
          <w:cantSplit/>
        </w:trPr>
        <w:tc>
          <w:tcPr>
            <w:tcW w:type="dxa" w:w="2699"/>
            <w:vAlign w:val="center"/>
            <w:tcMar>
              <w:top w:w="85" w:type="dxa"/>
              <w:bottom w:w="85" w:type="dxa"/>
              <w:left w:w="100" w:type="dxa"/>
              <w:right w:w="100" w:type="dxa"/>
            </w:tcMar>
            <w:shd w:fill="FFFFFF"/>
          </w:tcPr>
          <w:p>
            <w:pPr>
              <w:spacing w:after="0" w:before="0" w:line="259" w:lineRule="auto"/>
            </w:pPr>
            <w:r>
              <w:rPr>
                <w:color w:val="000000"/>
                <w:sz w:val="20"/>
              </w:rPr>
              <w:t>Связи контуров</w:t>
            </w:r>
          </w:p>
        </w:tc>
        <w:tc>
          <w:tcPr>
            <w:tcW w:type="dxa" w:w="2069"/>
            <w:vAlign w:val="center"/>
            <w:tcMar>
              <w:top w:w="85" w:type="dxa"/>
              <w:bottom w:w="85" w:type="dxa"/>
              <w:left w:w="100" w:type="dxa"/>
              <w:right w:w="100" w:type="dxa"/>
            </w:tcMar>
            <w:shd w:fill="FFFFFF"/>
          </w:tcPr>
          <w:p>
            <w:pPr>
              <w:spacing w:after="0" w:before="0" w:line="259" w:lineRule="auto"/>
            </w:pPr>
            <w:r>
              <w:rPr>
                <w:color w:val="000000"/>
                <w:sz w:val="20"/>
              </w:rPr>
              <w:t>ATFZONERESET</w:t>
            </w:r>
          </w:p>
        </w:tc>
        <w:tc>
          <w:tcPr>
            <w:tcW w:type="dxa" w:w="5312"/>
            <w:vAlign w:val="center"/>
            <w:tcMar>
              <w:top w:w="85" w:type="dxa"/>
              <w:bottom w:w="85" w:type="dxa"/>
              <w:left w:w="100" w:type="dxa"/>
              <w:right w:w="100" w:type="dxa"/>
            </w:tcMar>
            <w:shd w:fill="FFFFFF"/>
          </w:tcPr>
          <w:p>
            <w:pPr>
              <w:spacing w:after="0" w:before="0" w:line="259" w:lineRule="auto"/>
            </w:pPr>
            <w:r>
              <w:rPr>
                <w:color w:val="000000"/>
                <w:sz w:val="20"/>
              </w:rPr>
              <w:t>Исправление старых связей линий откосов и парапета</w:t>
            </w:r>
          </w:p>
        </w:tc>
      </w:tr>
    </w:tbl>
    <w:p>
      <w:pPr>
        <w:spacing w:after="40"/>
      </w:pP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74" w:name="chapter_4"/>
      <w:pPr>
        <w:pStyle w:val="Heading1"/>
      </w:pPr>
      <w:r>
        <w:t>3 Пять правил перед первым чертежом</w:t>
      </w:r>
      <w:bookmarkEnd w:id="74"/>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88" w:name="chapter_5"/>
      <w:pPr>
        <w:pStyle w:val="Heading1"/>
      </w:pPr>
      <w:r>
        <w:t>4 Учебный фасад исходник и проверочные размеры</w:t>
      </w:r>
      <w:bookmarkEnd w:id="88"/>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Скачайте </w:t>
      </w:r>
      <w:hyperlink r:id="rId13">
        <w:r>
          <w:rPr>
            <w:color w:val="245D83"/>
          </w:rPr>
          <w:t>учебный исходник 01_source_rect.dxf</w:t>
        </w:r>
      </w:hyperlink>
      <w:r>
        <w:t xml:space="preserve"> и откройте его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14" w:name="chapter_6"/>
      <w:pPr>
        <w:pStyle w:val="Heading1"/>
      </w:pPr>
      <w:r>
        <w:t>5 Шаг 1 создать зону командой ATFZONE</w:t>
      </w:r>
      <w:bookmarkEnd w:id="114"/>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62" w:name="chapter_7"/>
      <w:pPr>
        <w:pStyle w:val="Heading1"/>
      </w:pPr>
      <w:r>
        <w:t>6 Шаг 2 разложить плитку командой ATTILE</w:t>
      </w:r>
      <w:bookmarkEnd w:id="162"/>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5"/>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6"/>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7"/>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17" w:name="chapter_8"/>
      <w:pPr>
        <w:pStyle w:val="Heading1"/>
      </w:pPr>
      <w:r>
        <w:t>7 Шаг 3 построить подсистему ATFRAME</w:t>
      </w:r>
      <w:bookmarkEnd w:id="217"/>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8"/>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9"/>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20"/>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pPr>
        <w:pStyle w:val="Heading2"/>
      </w:pPr>
      <w:r>
        <w:t>7 4 Проверка расчёта на фасаде с пятнадцатью окнами</w:t>
      </w:r>
    </w:p>
    <w:p>
      <w:r>
        <w:t>Это отдельное упражнение под керамогранит. Оно позволяет проверить исправление коротких направляющих и работу режима «по расчёту» на фасаде с окнами. Сначала выполните его по указанным исходным данным, затем переходите к своему объекту. Установленные здесь нагрузки и шаги служат повторяемости проверки программы.</w:t>
      </w:r>
    </w:p>
    <w:p>
      <w:r>
        <w:t xml:space="preserve">Скачайте </w:t>
      </w:r>
      <w:hyperlink r:id="rId21">
        <w:r>
          <w:rPr>
            <w:color w:val="245D83"/>
          </w:rPr>
          <w:t>Facade_18x12_15windows.dxf</w:t>
        </w:r>
      </w:hyperlink>
      <w:r>
        <w:t xml:space="preserve">. Откройте и сохраните его как </w:t>
      </w:r>
      <w:r>
        <w:rPr>
          <w:rFonts w:ascii="DejaVu Sans Mono" w:hAnsi="DejaVu Sans Mono"/>
          <w:sz w:val="19"/>
        </w:rPr>
        <w:t>Pilot_windows.dwg</w:t>
      </w:r>
      <w:r>
        <w:t xml:space="preserve"> в отдельной папке. В файле только наружный контур и 15 окон; готовых зон, раскладки и подсистемы нет. Обе стороны учебной стены считаем наружными углами здания.</w:t>
      </w:r>
    </w:p>
    <w:p>
      <w:pPr>
        <w:keepNext/>
        <w:jc w:val="center"/>
      </w:pPr>
      <w:r>
        <w:drawing>
          <wp:inline xmlns:a="http://schemas.openxmlformats.org/drawingml/2006/main" xmlns:pic="http://schemas.openxmlformats.org/drawingml/2006/picture">
            <wp:extent cx="6400800" cy="2510118"/>
            <wp:docPr id="9" name="Picture 9" descr="Учебные исходные контуры фасада 18 на 12 метров с пятнадцатью окнами и наружными углами по обоим краям"/>
            <wp:cNvGraphicFramePr>
              <a:graphicFrameLocks noChangeAspect="1"/>
            </wp:cNvGraphicFramePr>
            <a:graphic>
              <a:graphicData uri="http://schemas.openxmlformats.org/drawingml/2006/picture">
                <pic:pic>
                  <pic:nvPicPr>
                    <pic:cNvPr id="0" name="windows_source.png"/>
                    <pic:cNvPicPr/>
                  </pic:nvPicPr>
                  <pic:blipFill>
                    <a:blip r:embed="rId22"/>
                    <a:stretch>
                      <a:fillRect/>
                    </a:stretch>
                  </pic:blipFill>
                  <pic:spPr>
                    <a:xfrm>
                      <a:off x="0" y="0"/>
                      <a:ext cx="6400800" cy="2510118"/>
                    </a:xfrm>
                    <a:prstGeom prst="rect"/>
                  </pic:spPr>
                </pic:pic>
              </a:graphicData>
            </a:graphic>
          </wp:inline>
        </w:drawing>
      </w:r>
    </w:p>
    <w:p>
      <w:pPr>
        <w:pStyle w:val="Caption"/>
        <w:jc w:val="center"/>
      </w:pPr>
      <w:r>
        <w:t>Рисунок 9. Учебные исходные контуры фасада 18 на 12 метров с пятнадцатью окнами и наружными углами по обоим краям</w:t>
      </w:r>
    </w:p>
    <w:p>
      <w:r>
        <w:t>На рисунке показана схема исходников, не результат запуска AutoCAD. Стена: от 0,0 до 18000,12000 мм. Окна: 1500×1500 мм; их левые координаты X равны 1500, 4500, 7500, 10500 и 13500 мм, нижние Y — 1200, 4200 и 7200 мм. Такое описание позволяет восстановить исходник самостоятельно.</w:t>
      </w:r>
    </w:p>
    <w:p>
      <w:pPr>
        <w:ind w:left="317" w:hanging="317"/>
      </w:pPr>
      <w:r>
        <w:t xml:space="preserve">1. Выполните </w:t>
      </w:r>
      <w:r>
        <w:rPr>
          <w:b/>
        </w:rPr>
        <w:t>ATFZONE</w:t>
      </w:r>
      <w:r>
        <w:t xml:space="preserve">, выбрав наружный контур и все 15 окон. Создайте одну зону, сохраните JSON рядом с DWG. Проверьте площадь: 18×12 − 15×1,5×1,5 = </w:t>
      </w:r>
      <w:r>
        <w:rPr>
          <w:b/>
        </w:rPr>
        <w:t>182,25 м²</w:t>
      </w:r>
      <w:r>
        <w:t>.</w:t>
      </w:r>
    </w:p>
    <w:p>
      <w:pPr>
        <w:ind w:left="317" w:hanging="317"/>
      </w:pPr>
      <w:r>
        <w:t xml:space="preserve">2. До ATTILE вызовите </w:t>
      </w:r>
      <w:r>
        <w:rPr>
          <w:b/>
        </w:rPr>
        <w:t>ATFRAME</w:t>
      </w:r>
      <w:r>
        <w:t xml:space="preserve"> по этой зоне. Историческую карточку «Решение и каталог» здесь не выбирайте: у неё отдельные ограничения, описанные в главе 13.</w:t>
      </w:r>
    </w:p>
    <w:p>
      <w:pPr>
        <w:ind w:left="317" w:hanging="317"/>
      </w:pPr>
      <w:r>
        <w:t xml:space="preserve">3. Введите параметры из таблицы. После «Разложить» задайте первую ось точкой </w:t>
      </w:r>
      <w:r>
        <w:rPr>
          <w:b/>
        </w:rPr>
        <w:t>608,0</w:t>
      </w:r>
      <w:r>
        <w:t xml:space="preserve">, наружные углы точками </w:t>
      </w:r>
      <w:r>
        <w:rPr>
          <w:b/>
        </w:rPr>
        <w:t>0,0</w:t>
      </w:r>
      <w:r>
        <w:t xml:space="preserve"> и </w:t>
      </w:r>
      <w:r>
        <w:rPr>
          <w:b/>
        </w:rPr>
        <w:t>18000,0</w:t>
      </w:r>
      <w:r>
        <w:t>. Каждый список завершайте Enter.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4"/>
        <w:gridCol w:w="5096"/>
      </w:tblGrid>
      <w:tr>
        <w:trPr>
          <w:cantSplit/>
          <w:tblHeader/>
        </w:trPr>
        <w:tc>
          <w:tcPr>
            <w:tcW w:type="dxa" w:w="4984"/>
            <w:vAlign w:val="center"/>
            <w:tcMar>
              <w:top w:w="85" w:type="dxa"/>
              <w:bottom w:w="85" w:type="dxa"/>
              <w:left w:w="100" w:type="dxa"/>
              <w:right w:w="100" w:type="dxa"/>
            </w:tcMar>
            <w:shd w:fill="23485F"/>
          </w:tcPr>
          <w:p>
            <w:pPr>
              <w:spacing w:after="0" w:before="0" w:line="259" w:lineRule="auto"/>
            </w:pPr>
            <w:r>
              <w:rPr>
                <w:b/>
                <w:color w:val="FFFFFF"/>
                <w:sz w:val="20"/>
              </w:rPr>
              <w:t>Параметр</w:t>
            </w:r>
          </w:p>
        </w:tc>
        <w:tc>
          <w:tcPr>
            <w:tcW w:type="dxa" w:w="5096"/>
            <w:vAlign w:val="center"/>
            <w:tcMar>
              <w:top w:w="85" w:type="dxa"/>
              <w:bottom w:w="85" w:type="dxa"/>
              <w:left w:w="100" w:type="dxa"/>
              <w:right w:w="100" w:type="dxa"/>
            </w:tcMar>
            <w:shd w:fill="23485F"/>
          </w:tcPr>
          <w:p>
            <w:pPr>
              <w:spacing w:after="0" w:before="0" w:line="259" w:lineRule="auto"/>
            </w:pPr>
            <w:r>
              <w:rPr>
                <w:b/>
                <w:color w:val="FFFFFF"/>
                <w:sz w:val="20"/>
              </w:rPr>
              <w:t>Учебное значение</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Материал и состав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Керамогранит, только подсистема</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Схема и профиль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Вертикальная, профиль «Авто»</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Способ задания шагов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По расчёту несущей способности</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Район и местность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II и B</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Высота здания и масса облицовки</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30 м и 25 кг/м²</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Плечо расчёта и анкер</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230 мм и 3000 Н</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Шаг осей и горизонтальных швов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608 и 605 мм</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Старт кронштейна и зазор стыка</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300 и 10 мм</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Внешние углы</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Включены, обе точки указаны явно</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Отметки перекрытий</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Выключены</w:t>
            </w:r>
          </w:p>
        </w:tc>
      </w:tr>
    </w:tbl>
    <w:p>
      <w:pPr>
        <w:spacing w:after="40"/>
      </w:pPr>
    </w:p>
    <w:p>
      <w:r>
        <w:t xml:space="preserve">Увеличьте низ окон, простенки и верх стены над последним рядом окон. В этом точном примере на каждом отдельном куске должно быть не меньше двух кронштейнов. Для коротких перемычек другого фасада действует правило раздела 7.6. Окна остаются пустыми, у обоих наружных краёв присутствуют направляющие. Для указанных входов проверенный движок даёт </w:t>
      </w:r>
      <w:r>
        <w:rPr>
          <w:b/>
        </w:rPr>
        <w:t>148 направляющих и 553 кронштейна</w:t>
      </w:r>
      <w:r>
        <w:t>. Один участок получает дополнительную опору при локальном уменьшении шага. Это числовой ориентир упражнения, не норматив расхода и не результат уже выполненной живой проверки AutoCAD.</w:t>
      </w:r>
    </w:p>
    <w:p>
      <w:r>
        <w:t>При другом количестве или отказе сначала сохраните F2 и снимок нужного места. Не переходите сразу в ручной режим: иначе будет потерян исходный пример проблемы. Предыдущая подсистема, оставшаяся на экране после отказа, не является новым успешным результатом.</w:t>
      </w:r>
    </w:p>
    <w:p>
      <w:pPr>
        <w:pStyle w:val="Heading2"/>
      </w:pPr>
      <w:r>
        <w:t>7 5 Ручной вариант и полный проход по тем же окнам</w:t>
      </w:r>
    </w:p>
    <w:p>
      <w:r>
        <w:t xml:space="preserve">На отдельной копии исходной зоны повторите ATFRAME вручную: шаги </w:t>
      </w:r>
      <w:r>
        <w:rPr>
          <w:b/>
        </w:rPr>
        <w:t>800/800 мм</w:t>
      </w:r>
      <w:r>
        <w:t xml:space="preserve">, старт </w:t>
      </w:r>
      <w:r>
        <w:rPr>
          <w:b/>
        </w:rPr>
        <w:t>300 мм</w:t>
      </w:r>
      <w:r>
        <w:t xml:space="preserve">, зазор </w:t>
      </w:r>
      <w:r>
        <w:rPr>
          <w:b/>
        </w:rPr>
        <w:t>10 мм</w:t>
      </w:r>
      <w:r>
        <w:t xml:space="preserve">, те же оси и наружные углы. Для точных входов ожидаются </w:t>
      </w:r>
      <w:r>
        <w:rPr>
          <w:b/>
        </w:rPr>
        <w:t>148 направляющих и 504 кронштейна</w:t>
      </w:r>
      <w:r>
        <w:t>, без одноопорных хвостов. Эти ручные шаги не являются инженерным назначением для рабочего объекта.</w:t>
      </w:r>
    </w:p>
    <w:p>
      <w:r>
        <w:t xml:space="preserve">На следующей копии зоны выполните ATTILE: плита </w:t>
      </w:r>
      <w:r>
        <w:rPr>
          <w:b/>
        </w:rPr>
        <w:t>600×600 мм</w:t>
      </w:r>
      <w:r>
        <w:t xml:space="preserve">, шов </w:t>
      </w:r>
      <w:r>
        <w:rPr>
          <w:b/>
        </w:rPr>
        <w:t>10 мм</w:t>
      </w:r>
      <w:r>
        <w:t>, прямая раскладка. Проверьте, что окна свободны и крайние подрезки приемлемы. Заново постройте подсистему по этой раскладке с теми же наружными углами. Теперь оси берутся из облицовки, поэтому числа 148 и 553 из отдельного теста ручных осей уже не служат эталоном.</w:t>
      </w:r>
    </w:p>
    <w:p>
      <w:r>
        <w:t>Выдайте через ATFTABLE ведомости облицовки и подсистемы в DWG и XLSX. Сопоставьте несколько деталей и длин с чертежом. Сохраните и заново откройте проект; на копии измените одно окно и проверьте, что прежние данные требуют обновления. При отмене построения прежний результат должен сохраниться. Затем повторите цепочку на небольшом участке своего рабочего фасада с его исходными данными.</w:t>
      </w:r>
    </w:p>
    <w:p>
      <w:pPr>
        <w:pStyle w:val="Heading2"/>
      </w:pPr>
      <w:r>
        <w:t>7 6 Ленточные окна и низкий подоконник</w:t>
      </w:r>
    </w:p>
    <w:p>
      <w:r>
        <w:t xml:space="preserve">Эта проверка нужна перед работой на фасадах с короткими перемычками. Создайте два отдельных учебных DWG с контуром стены от </w:t>
      </w:r>
      <w:r>
        <w:rPr>
          <w:b/>
        </w:rPr>
        <w:t>0,0 до 18000,10200 мм</w:t>
      </w:r>
      <w:r>
        <w:t xml:space="preserve">. В первом начертите три ленточных окна: от </w:t>
      </w:r>
      <w:r>
        <w:rPr>
          <w:b/>
        </w:rPr>
        <w:t>1200,1200 до 16800,3000</w:t>
      </w:r>
      <w:r>
        <w:t xml:space="preserve">, от </w:t>
      </w:r>
      <w:r>
        <w:rPr>
          <w:b/>
        </w:rPr>
        <w:t>1200,3600 до 16800,5400</w:t>
      </w:r>
      <w:r>
        <w:t xml:space="preserve">, от </w:t>
      </w:r>
      <w:r>
        <w:rPr>
          <w:b/>
        </w:rPr>
        <w:t>1200,6000 до 16800,7800</w:t>
      </w:r>
      <w:r>
        <w:t xml:space="preserve">. Между окнами остаются перемычки высотой 600 мм. Во втором задайте 15 окон шириной 1500 и высотой 1800 мм: левые X — </w:t>
      </w:r>
      <w:r>
        <w:rPr>
          <w:b/>
        </w:rPr>
        <w:t>1500, 4500, 7500, 10500, 13500</w:t>
      </w:r>
      <w:r>
        <w:t xml:space="preserve">, нижние Y — </w:t>
      </w:r>
      <w:r>
        <w:rPr>
          <w:b/>
        </w:rPr>
        <w:t>500, 3500, 6500</w:t>
      </w:r>
      <w:r>
        <w:t>. Нижний подоконник имеет высоту 500 мм.</w:t>
      </w:r>
    </w:p>
    <w:p>
      <w:r>
        <w:t xml:space="preserve">Для каждого DWG создайте одну зону ATFZONE со всеми окнами. Повторите ATFRAME с ручными шагами </w:t>
      </w:r>
      <w:r>
        <w:rPr>
          <w:b/>
        </w:rPr>
        <w:t>800/800 мм</w:t>
      </w:r>
      <w:r>
        <w:t xml:space="preserve"> и затем на копии — с расчётными параметрами раздела 7.4. В обоих режимах оставьте старт </w:t>
      </w:r>
      <w:r>
        <w:rPr>
          <w:b/>
        </w:rPr>
        <w:t>300 мм</w:t>
      </w:r>
      <w:r>
        <w:t xml:space="preserve">, зазор </w:t>
      </w:r>
      <w:r>
        <w:rPr>
          <w:b/>
        </w:rPr>
        <w:t>10 мм</w:t>
      </w:r>
      <w:r>
        <w:t xml:space="preserve">, первую ось </w:t>
      </w:r>
      <w:r>
        <w:rPr>
          <w:b/>
        </w:rPr>
        <w:t>608,0</w:t>
      </w:r>
      <w:r>
        <w:t xml:space="preserve"> и наружные углы </w:t>
      </w:r>
      <w:r>
        <w:rPr>
          <w:b/>
        </w:rPr>
        <w:t>0,0</w:t>
      </w:r>
      <w:r>
        <w:t xml:space="preserve">, </w:t>
      </w:r>
      <w:r>
        <w:rPr>
          <w:b/>
        </w:rPr>
        <w:t>18000,0</w:t>
      </w:r>
      <w:r>
        <w:t>. Геометрия должна построиться целиком. Переход на старт 200 мм для прохождения теста не нужен.</w:t>
      </w:r>
    </w:p>
    <w:p>
      <w:r>
        <w:t xml:space="preserve">На каждом исходном коротком куске длиной до </w:t>
      </w:r>
      <w:r>
        <w:rPr>
          <w:b/>
        </w:rPr>
        <w:t>600 мм включительно</w:t>
      </w:r>
      <w:r>
        <w:t xml:space="preserve"> ожидается </w:t>
      </w:r>
      <w:r>
        <w:rPr>
          <w:b/>
        </w:rPr>
        <w:t>один кронштейн по центру</w:t>
      </w:r>
      <w:r>
        <w:t xml:space="preserve"> и красная пометка. Это прежнее правило расстановки, а не расчётное подтверждение такого закрепления. Программа не считает единственный кронштейн доказанной заделкой. При перегрузке другого куска пометка также остаётся; отрицательная проверка не исчезает из отчёта.</w:t>
      </w:r>
    </w:p>
    <w:p>
      <w:pPr>
        <w:ind w:left="317" w:hanging="317"/>
      </w:pPr>
      <w:r>
        <w:t xml:space="preserve">1. Откройте </w:t>
      </w:r>
      <w:r>
        <w:rPr>
          <w:b/>
        </w:rPr>
        <w:t>F2</w:t>
      </w:r>
      <w:r>
        <w:t xml:space="preserve">. Найдите список замечаний с зоной, координатами куска и причиной. Сверьте два-три указанных места с чертежом. У направляющих из блоков дополнительно появляется красный кружок на слое </w:t>
      </w:r>
      <w:r>
        <w:rPr>
          <w:b/>
        </w:rPr>
        <w:t>_01_ПС_ПРОВЕРИТЬ</w:t>
      </w:r>
      <w:r>
        <w:t>.</w:t>
      </w:r>
    </w:p>
    <w:p>
      <w:pPr>
        <w:ind w:left="317" w:hanging="317"/>
      </w:pPr>
      <w:r>
        <w:t xml:space="preserve">2. Выполните </w:t>
      </w:r>
      <w:r>
        <w:rPr>
          <w:b/>
        </w:rPr>
        <w:t>ATFTABLE → Подсистема → Элементы</w:t>
      </w:r>
      <w:r>
        <w:t>, выведите ведомость в DWG и Excel. Найдите те же замечания. Кружки служат только для проверки и не должны добавляться в количество материалов; красный цвет не является цветом изделия.</w:t>
      </w:r>
    </w:p>
    <w:p>
      <w:pPr>
        <w:ind w:left="317" w:hanging="317"/>
      </w:pPr>
      <w:r>
        <w:t>3. Сохраните DWG с родным JSON, закройте и откройте заново. Повторите ведомость: координаты и причины должны сохраниться. Для проверки обновления кляммеров используйте отдельную копию с ATTILE и сравните замечания до и после режима «только кляммеры».</w:t>
      </w:r>
    </w:p>
    <w:p>
      <w:pPr>
        <w:ind w:left="317" w:hanging="317"/>
      </w:pPr>
      <w:r>
        <w:t>4. Запишите время ATFRAME и ATFTABLE, номер выпуска и замечания. Если исчезла часть фасада, команда отказала из-за такого короткого куска либо список потерялся после открытия, сохраните исходник и F2 по главе 18. Не принимайте результат с красными кусками как полностью проверенный расчёт.</w:t>
      </w:r>
    </w:p>
    <w:p>
      <w:bookmarkStart w:id="326" w:name="chapter_9"/>
      <w:pPr>
        <w:pStyle w:val="Heading1"/>
      </w:pPr>
      <w:r>
        <w:t>8 Шаг 4 построить ведомость ATFTABLE</w:t>
      </w:r>
      <w:bookmarkEnd w:id="326"/>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и скопированная зона требуют восстановления по главе 10. Для старой зоны без контрольного снимка сначала выполните ATFZONEACCEPT по разделу 10.3, затем повторите зависимые результаты. Совпадение площади не отменяет проверку формы и положения контуров.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Точка новой таблицы переводится из текущей ПСК в мировые координаты. Таблица сохраняет прежнее направление; автоматически вслед за ПСК она не поворачивается. Смена ПСК после выбора точки вызывает отказ до записи. При «Обновить» используется прежнее место таблицы, новую точку задавать не нужно.</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упражнения 7.1–7.3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Если ATFRAME построил подсистему с красными кусками, ведомость сохраняет их в составе и выводит замечания с координатами и причинами, в том числе в Excel. Сверьте этот список с F2 и чертежом. Красные кружки у блоков не учитываются как детали. Наличие строк ведомости не означает, что отмеченные куски прошли расчёт.</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Замечания к сохранённым кускам также остаются. Это прямо описывается в сообщениях;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В режиме расчёта свободные концы участвуют в поперечной проверке отдельного куска. Эта проверка не подтверждает фактическую передачу усилий и монтажное закрепление; их сверяют с проектным узлом.</w:t>
      </w:r>
    </w:p>
    <w:p>
      <w:r>
        <w:t xml:space="preserve">Один физический кронштейн, попавший в кандидаты нескольких отдельных кусков ГП, получает адресное предупреждение </w:t>
      </w:r>
      <w:r>
        <w:rPr>
          <w:b/>
        </w:rPr>
        <w:t>«Монтажная принадлежность не определена»</w:t>
      </w:r>
      <w:r>
        <w:t>. В строках затронутых направляющих показано число общих кандидатов-кронштейнов; в предупреждениях отчёта — ID кронштейна и всех связанных направляющих. Это неоднозначность геометрической схемы, а не установленная ошибка монтажа или назначенная опора. Сопоставьте перечисленные детали с проектным узлом; не удаляйте их ради исчезновения сообщения.</w:t>
      </w:r>
    </w:p>
    <w:p>
      <w:r>
        <w:t xml:space="preserve">Сообщение </w:t>
      </w:r>
      <w:r>
        <w:rPr>
          <w:b/>
        </w:rPr>
        <w:t>«ID есть в проверенном составе, но отсутствует среди ссылок кандидатов опор этого паспорта»</w:t>
      </w:r>
      <w:r>
        <w:t xml:space="preserve"> указывает ID кронштейна и его зону. Сверьте их с проектным узлом. Кронштейн остаётся в ведомости и не объявляется лишним; наличие и тип фактического крепления неизвестны. Ручные детали и результаты без доступного паспорта по этому признаку не оцениваются.</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Даже нулевой зазор между соседними кусками не объединяет их в непрерывный элемент.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 Такое предупреждение помогает найти место для проверки; оно не заменяет расчёт соединений и подбор монтажного варианта.</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78" w:name="chapter_10"/>
      <w:pPr>
        <w:pStyle w:val="Heading1"/>
      </w:pPr>
      <w:r>
        <w:t>9 Как проверять весь фасад не запутавшись в слоях</w:t>
      </w:r>
      <w:bookmarkEnd w:id="478"/>
    </w:p>
    <w:p>
      <w:pPr>
        <w:keepNext/>
        <w:jc w:val="center"/>
      </w:pPr>
      <w:r>
        <w:drawing>
          <wp:inline xmlns:a="http://schemas.openxmlformats.org/drawingml/2006/main" xmlns:pic="http://schemas.openxmlformats.org/drawingml/2006/picture">
            <wp:extent cx="6400800" cy="3254644"/>
            <wp:docPr id="10" name="Picture 10"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3"/>
                    <a:stretch>
                      <a:fillRect/>
                    </a:stretch>
                  </pic:blipFill>
                  <pic:spPr>
                    <a:xfrm>
                      <a:off x="0" y="0"/>
                      <a:ext cx="6400800" cy="3254644"/>
                    </a:xfrm>
                    <a:prstGeom prst="rect"/>
                  </pic:spPr>
                </pic:pic>
              </a:graphicData>
            </a:graphic>
          </wp:inline>
        </w:drawing>
      </w:r>
    </w:p>
    <w:p>
      <w:pPr>
        <w:pStyle w:val="Caption"/>
        <w:jc w:val="center"/>
      </w:pPr>
      <w:r>
        <w:t>Рисунок 10.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95" w:name="chapter_11"/>
      <w:pPr>
        <w:pStyle w:val="Heading1"/>
      </w:pPr>
      <w:r>
        <w:t>10 Изменения повторный запуск и отмена</w:t>
      </w:r>
      <w:bookmarkEnd w:id="495"/>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Для старой зоны без контрольного снимка сначала используйте «Принять старую зону» по разделу 10.3. Если исходные связи утрачены, потребуется восстановить зону.</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Принять старую зону без пересоздания</w:t>
      </w:r>
    </w:p>
    <w:p>
      <w:r>
        <w:t>Этот путь нужен для зоны, сделанной прежней версией программы и ещё не имеющей контрольного снимка. Он сохраняет контуры, штриховку, марку и номер зоны. Зона с уже существующим, но повреждённым снимком не превращается таким способом в «старую»; скопированные и неоднозначные связи также требуют восстановления.</w:t>
      </w:r>
    </w:p>
    <w:p>
      <w:pPr>
        <w:ind w:left="317" w:hanging="317"/>
      </w:pPr>
      <w:r>
        <w:t xml:space="preserve">1. Сохраните резервную копию пары DWG и её родного файла </w:t>
      </w:r>
      <w:r>
        <w:rPr>
          <w:rFonts w:ascii="DejaVu Sans Mono" w:hAnsi="DejaVu Sans Mono"/>
          <w:sz w:val="19"/>
        </w:rPr>
        <w:t>_fzones.json</w:t>
      </w:r>
      <w:r>
        <w:t xml:space="preserve">. Если через «Сохранить как» создан </w:t>
      </w:r>
      <w:r>
        <w:rPr>
          <w:rFonts w:ascii="DejaVu Sans Mono" w:hAnsi="DejaVu Sans Mono"/>
          <w:sz w:val="19"/>
        </w:rPr>
        <w:t>Pilot_copy.dwg</w:t>
      </w:r>
      <w:r>
        <w:t xml:space="preserve">, рядом положите копию прежнего JSON под именем </w:t>
      </w:r>
      <w:r>
        <w:rPr>
          <w:rFonts w:ascii="DejaVu Sans Mono" w:hAnsi="DejaVu Sans Mono"/>
          <w:sz w:val="19"/>
        </w:rPr>
        <w:t>Pilot_copy_fzones.json</w:t>
      </w:r>
      <w:r>
        <w:t>. Содержимое JSON вручную не меняйте; исходную пару сохраните отдельно. Если JSON утрачен, сначала восстановите его из своей резервной копии.</w:t>
      </w:r>
    </w:p>
    <w:p>
      <w:pPr>
        <w:ind w:left="317" w:hanging="317"/>
      </w:pPr>
      <w:r>
        <w:t xml:space="preserve">2. Нажмите </w:t>
      </w:r>
      <w:r>
        <w:rPr>
          <w:b/>
        </w:rPr>
        <w:t>«Принять старую зону»</w:t>
      </w:r>
      <w:r>
        <w:t xml:space="preserve"> или введите </w:t>
      </w:r>
      <w:r>
        <w:rPr>
          <w:b/>
        </w:rPr>
        <w:t>ATFZONEACCEPT</w:t>
      </w:r>
      <w:r>
        <w:t>. Выберите марку либо штриховку нужной старой зоны.</w:t>
      </w:r>
    </w:p>
    <w:p>
      <w:pPr>
        <w:ind w:left="317" w:hanging="317"/>
      </w:pPr>
      <w:r>
        <w:t>3. Прочитайте номер зоны и пересчитанную площадь. Сопоставьте с текущими контурами и окнами. Команда принимает именно их нынешнее положение как исходное; она не возвращает старую форму стены.</w:t>
      </w:r>
    </w:p>
    <w:p>
      <w:pPr>
        <w:ind w:left="317" w:hanging="317"/>
      </w:pPr>
      <w:r>
        <w:t xml:space="preserve">4. В ответ на запрос выберите </w:t>
      </w:r>
      <w:r>
        <w:rPr>
          <w:b/>
        </w:rPr>
        <w:t>«Принять»</w:t>
      </w:r>
      <w:r>
        <w:t xml:space="preserve">. Enter с вариантом по умолчанию </w:t>
      </w:r>
      <w:r>
        <w:rPr>
          <w:b/>
        </w:rPr>
        <w:t>«Отмена»</w:t>
      </w:r>
      <w:r>
        <w:t>, как и Esc, оставляет данные без изменений.</w:t>
      </w:r>
    </w:p>
    <w:p>
      <w:pPr>
        <w:ind w:left="317" w:hanging="317"/>
      </w:pPr>
      <w:r>
        <w:t>5. После принятия повторите нужную раскладку, ATFRAME и ведомости. Старые плитки, каркас, линии откосов и таблицы автоматически не перестраиваются и не получают подтверждения.</w:t>
      </w:r>
    </w:p>
    <w:p>
      <w:r>
        <w:t>При конфликте файлов или изменении исходников во время подтверждения повторите операцию после проверки. Если программа сообщает о восстановлении JSON из резервного файла, выполните именно это действие до продолжения. Undo возвращает изменения внутри DWG; внешний JSON в него не входит. После отката восстановите согласованную пару файлов либо повторно сохраните актуальные данные зоны.</w:t>
      </w:r>
    </w:p>
    <w:p>
      <w:pPr>
        <w:pStyle w:val="Heading2"/>
      </w:pPr>
      <w:r>
        <w:t>10 4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это старая зона без снимка, сначала выполните раздел 10.3. Если изменена геометрия уже современной зоны,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5 Старая схема линий и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6 Отмена и возврат</w:t>
      </w:r>
    </w:p>
    <w:p>
      <w:r>
        <w:t xml:space="preserve">Самый однозначный способ отказаться от генерации — кнопка «Отмена» в окне параметров до запуска. В ATFRAME при вводе ручных осей стоек, внешних углов и отметок перекрытий Enter завершает список и продолжает работу, а Esc отменяет команду до расчёта и замены прежних объектов, даже если часть точек уже указана.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556" w:name="chapter_12"/>
      <w:pPr>
        <w:pStyle w:val="Heading1"/>
      </w:pPr>
      <w:r>
        <w:t>11 Второе упражнение фронтон со скатами</w:t>
      </w:r>
      <w:bookmarkEnd w:id="556"/>
    </w:p>
    <w:p>
      <w:pPr>
        <w:keepNext/>
        <w:jc w:val="center"/>
      </w:pPr>
      <w:r>
        <w:drawing>
          <wp:inline xmlns:a="http://schemas.openxmlformats.org/drawingml/2006/main" xmlns:pic="http://schemas.openxmlformats.org/drawingml/2006/picture">
            <wp:extent cx="5651601" cy="5806439"/>
            <wp:docPr id="11" name="Picture 11"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4"/>
                    <a:stretch>
                      <a:fillRect/>
                    </a:stretch>
                  </pic:blipFill>
                  <pic:spPr>
                    <a:xfrm>
                      <a:off x="0" y="0"/>
                      <a:ext cx="5651601" cy="5806439"/>
                    </a:xfrm>
                    <a:prstGeom prst="rect"/>
                  </pic:spPr>
                </pic:pic>
              </a:graphicData>
            </a:graphic>
          </wp:inline>
        </w:drawing>
      </w:r>
    </w:p>
    <w:p>
      <w:pPr>
        <w:pStyle w:val="Caption"/>
        <w:jc w:val="center"/>
      </w:pPr>
      <w:r>
        <w:t>Рисунок 11. Фронтон с раскладкой</w:t>
      </w:r>
    </w:p>
    <w:p>
      <w:r>
        <w:t xml:space="preserve">Скачайте </w:t>
      </w:r>
      <w:hyperlink r:id="rId25">
        <w:r>
          <w:rPr>
            <w:color w:val="245D83"/>
          </w:rPr>
          <w:t>исходник фронтона 02_source_gable.dxf</w:t>
        </w:r>
      </w:hyperlink>
      <w:r>
        <w:t xml:space="preserve">, откройте его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572" w:name="chapter_13"/>
      <w:pPr>
        <w:pStyle w:val="Heading1"/>
      </w:pPr>
      <w:r>
        <w:t>12 ATTILE справочник режимов после первого урока</w:t>
      </w:r>
      <w:bookmarkEnd w:id="572"/>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608" w:name="chapter_14"/>
      <w:pPr>
        <w:pStyle w:val="Heading1"/>
      </w:pPr>
      <w:r>
        <w:t>13 ATFRAME какие режимы выбирать</w:t>
      </w:r>
      <w:bookmarkEnd w:id="608"/>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Вертикальная система и окна.</w:t>
      </w:r>
      <w:r>
        <w:t xml:space="preserve"> Само наличие окон больше не является причиной общего отказа. Каждый отдельный кусок профиля проверяется по реальному положению его опор, длинам пролётов и свободным концам. Рассчитываются в том числе куски с двумя опорами и одним пролётом, а также куски с разным числом пролётов на одном фасаде. Соседние куски через стык не считаются одним непрерывным профилем.</w:t>
      </w:r>
    </w:p>
    <w:p>
      <w:r>
        <w:t>Если отдельный кусок не проходит проверку, программа пробует локально уменьшить шаг кронштейнов в пределах существующего подбора, сохраняя профиль и отступы от торцов. Поэтому на таком участке опор может быть больше, чем следовало бы из общего шага. Общая с соседним куском опора не переносится. Если допустимого варианта нет, геометрия строится, а этот кусок выделяется красным. В F2 и ведомости подсистемы сохраняются место и нарушенные проверки. Проверяйте эти данные по проекту; снижение нагрузки ради исчезновения пометки неверно.</w:t>
      </w:r>
    </w:p>
    <w:p>
      <w:r>
        <w:rPr>
          <w:b/>
        </w:rPr>
        <w:t>Короткие остатки и исходные перемычки.</w:t>
      </w:r>
      <w:r>
        <w:t xml:space="preserve"> При делении длинного профиля программа при необходимости перераспределяет последние два куска, чтобы убрать маленький хвост после целого хлыста. Сохраняются длина прогона, зазор, максимальная длина и заданные отметки перекрытий. Самостоятельный участок под окном или в перемычке длиной до двух торцевых отступов включительно получает один кронштейн по центру. При старте 300 мм это длина до 600 мм включительно. Он строится в обоих режимах и помечается красным как непроверенный. Старт 300 мм автоматически не меняется; другой отступ задают по проектному решению.</w:t>
      </w:r>
    </w:p>
    <w:p>
      <w:r>
        <w:rPr>
          <w:b/>
        </w:rPr>
        <w:t>Как понимать итог.</w:t>
      </w:r>
      <w:r>
        <w:t xml:space="preserve"> Ручной режим строит геометрию без расчёта несущей способности. В расчётном режиме итог с локальными замечаниями означает частичный результат проверки; в техническом отчёте это </w:t>
      </w:r>
      <w:r>
        <w:rPr>
          <w:rFonts w:ascii="DejaVu Sans Mono" w:hAnsi="DejaVu Sans Mono"/>
          <w:sz w:val="19"/>
        </w:rPr>
        <w:t>partial</w:t>
      </w:r>
      <w:r>
        <w:t>. Непроверенные куски и перегрузки перечислены отдельно, отрицательные проверки сохраняются. Некорректные исходные данные, неподдержанная общая схема или отсутствие обязательных характеристик по-прежнему могут остановить команду целиком. Красная пометка конкретного куска сама по себе такого общего отказа не вызывает.</w:t>
      </w:r>
    </w:p>
    <w:p>
      <w:r>
        <w:t xml:space="preserve">Успех этой проверки означает, что пройдена реализованная проверка поперечной нагрузки на отдельные куски. Распределение собственного веса, несущие и подвижные опоры, передача усилий через соединения и крепёж всего узла требуют отдельного инженерного подтверждения. Для геометрической проверки опор используйте </w:t>
      </w:r>
      <w:r>
        <w:rPr>
          <w:b/>
        </w:rPr>
        <w:t>ATFTABLE → Подсистема → Соединения</w:t>
      </w:r>
      <w:r>
        <w:t xml:space="preserve"> по разделу 8.9.</w:t>
      </w:r>
    </w:p>
    <w:p>
      <w:r>
        <w:rPr>
          <w:b/>
        </w:rPr>
        <w:t>Межэтажная система.</w:t>
      </w:r>
      <w:r>
        <w:t xml:space="preserve"> Автоматический расчёт пока недоступен: схема опор и соединений НСП требует отдельной реализации и подтверждения. Ручное построение доступно по проектным параметрам; оно не подтверждает несущую способность. Замечания к отдельным построенным кускам нужно проверить по проектной схеме.</w:t>
      </w:r>
    </w:p>
    <w:p>
      <w:r>
        <w:rPr>
          <w:b/>
        </w:rPr>
        <w:t>Ортогональная система.</w:t>
      </w:r>
      <w:r>
        <w:t xml:space="preserve"> Проверяется геометрия опор вертикальных кусков и ограниченная модель этих кусков. Горизонтальные элементы и соединения не становятся проверенной совместной пространственной системой. Не переносите результат расчёта вертикального профиля на весь ортогональный каркас.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w:t>
      </w:r>
    </w:p>
    <w:p>
      <w:r>
        <w:t>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к проекту.</w:t>
      </w:r>
    </w:p>
    <w:p>
      <w:pPr>
        <w:pStyle w:val="Heading2"/>
      </w:pPr>
      <w:r>
        <w:t>ATFNODE размерная схема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 xml:space="preserve">В разделе </w:t>
      </w:r>
      <w:r>
        <w:rPr>
          <w:b/>
        </w:rPr>
        <w:t>«Номинальные базы по размерным линиям альбома»</w:t>
      </w:r>
      <w:r>
        <w:t xml:space="preserve"> показана уже определённая часть цепи. Она относится к плоской недеформированной схеме узла 4.2.1: КР2 прилегает к одной паронитовой прокладке ПП номинальной толщиной 2 мм, а ПП — к основанию. Дополнительных подкладок и зазоров нет; сжатие ПП, неровности, допуски и деформации здесь не вычисляются.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582"/>
        <w:gridCol w:w="4498"/>
      </w:tblGrid>
      <w:tr>
        <w:trPr>
          <w:cantSplit/>
          <w:tblHeader/>
        </w:trPr>
        <w:tc>
          <w:tcPr>
            <w:tcW w:type="dxa" w:w="5582"/>
            <w:vAlign w:val="center"/>
            <w:tcMar>
              <w:top w:w="85" w:type="dxa"/>
              <w:bottom w:w="85" w:type="dxa"/>
              <w:left w:w="100" w:type="dxa"/>
              <w:right w:w="100" w:type="dxa"/>
            </w:tcMar>
            <w:shd w:fill="23485F"/>
          </w:tcPr>
          <w:p>
            <w:pPr>
              <w:spacing w:after="0" w:before="0" w:line="259" w:lineRule="auto"/>
            </w:pPr>
            <w:r>
              <w:rPr>
                <w:b/>
                <w:color w:val="FFFFFF"/>
                <w:sz w:val="20"/>
              </w:rPr>
              <w:t>Номинальная база</w:t>
            </w:r>
          </w:p>
        </w:tc>
        <w:tc>
          <w:tcPr>
            <w:tcW w:type="dxa" w:w="4498"/>
            <w:vAlign w:val="center"/>
            <w:tcMar>
              <w:top w:w="85" w:type="dxa"/>
              <w:bottom w:w="85" w:type="dxa"/>
              <w:left w:w="100" w:type="dxa"/>
              <w:right w:w="100" w:type="dxa"/>
            </w:tcMar>
            <w:shd w:fill="23485F"/>
          </w:tcPr>
          <w:p>
            <w:pPr>
              <w:spacing w:after="0" w:before="0" w:line="259" w:lineRule="auto"/>
            </w:pPr>
            <w:r>
              <w:rPr>
                <w:b/>
                <w:color w:val="FFFFFF"/>
                <w:sz w:val="20"/>
              </w:rPr>
              <w:t>Координата x наружу от основания, мм</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Основание</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0</w:t>
            </w:r>
          </w:p>
        </w:tc>
      </w:tr>
      <w:tr>
        <w:trPr>
          <w:cantSplit/>
        </w:trPr>
        <w:tc>
          <w:tcPr>
            <w:tcW w:type="dxa" w:w="5582"/>
            <w:vAlign w:val="center"/>
            <w:tcMar>
              <w:top w:w="85" w:type="dxa"/>
              <w:bottom w:w="85" w:type="dxa"/>
              <w:left w:w="100" w:type="dxa"/>
              <w:right w:w="100" w:type="dxa"/>
            </w:tcMar>
            <w:shd w:fill="F1F5F7"/>
          </w:tcPr>
          <w:p>
            <w:pPr>
              <w:spacing w:after="0" w:before="0" w:line="259" w:lineRule="auto"/>
            </w:pPr>
            <w:r>
              <w:rPr>
                <w:color w:val="000000"/>
                <w:sz w:val="20"/>
              </w:rPr>
              <w:t>Наружная поверхность ПП и опорная поверхность КР2</w:t>
            </w:r>
          </w:p>
        </w:tc>
        <w:tc>
          <w:tcPr>
            <w:tcW w:type="dxa" w:w="4498"/>
            <w:vAlign w:val="center"/>
            <w:tcMar>
              <w:top w:w="85" w:type="dxa"/>
              <w:bottom w:w="85" w:type="dxa"/>
              <w:left w:w="100" w:type="dxa"/>
              <w:right w:w="100" w:type="dxa"/>
            </w:tcMar>
            <w:shd w:fill="F1F5F7"/>
          </w:tcPr>
          <w:p>
            <w:pPr>
              <w:spacing w:after="0" w:before="0" w:line="259" w:lineRule="auto"/>
            </w:pPr>
            <w:r>
              <w:rPr>
                <w:color w:val="000000"/>
                <w:sz w:val="20"/>
              </w:rPr>
              <w:t>2</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Свободный торец КР2</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2 + L КР2</w:t>
            </w:r>
          </w:p>
        </w:tc>
      </w:tr>
    </w:tbl>
    <w:p>
      <w:pPr>
        <w:spacing w:after="40"/>
      </w:pPr>
    </w:p>
    <w:p>
      <w:r>
        <w:t xml:space="preserve">При выбранной длине КР2 </w:t>
      </w:r>
      <w:r>
        <w:rPr>
          <w:b/>
        </w:rPr>
        <w:t>50 мм</w:t>
      </w:r>
      <w:r>
        <w:t xml:space="preserve"> номинальный торец находится на </w:t>
      </w:r>
      <w:r>
        <w:rPr>
          <w:b/>
        </w:rPr>
        <w:t>52 мм</w:t>
      </w:r>
      <w:r>
        <w:t xml:space="preserve">, при </w:t>
      </w:r>
      <w:r>
        <w:rPr>
          <w:b/>
        </w:rPr>
        <w:t>350 мм</w:t>
      </w:r>
      <w:r>
        <w:t xml:space="preserve"> — на </w:t>
      </w:r>
      <w:r>
        <w:rPr>
          <w:b/>
        </w:rPr>
        <w:t>352 мм</w:t>
      </w:r>
      <w:r>
        <w:t>. Размер L на листе 3.2.1 / PDF 6 уже отсчитан от наружной опорной поверхности лапки: толщину металла повторно не прибавляют. Толщина ПП взята с листа 3.2.2 / PDF 7. Эти координаты не являются положением ГП или наружной облицовки и не подтверждают фактическую установку. Число 2 мм также не выбирает типоразмер, контур или отверстие прокладки.</w:t>
      </w:r>
    </w:p>
    <w:p>
      <w:r>
        <w:t xml:space="preserve">Собственная длина УК на листе 3.3 / PDF 8 измерена от свободного торца до наружной стороны отогнутой лапки. Поэтому отчёт показывает </w:t>
      </w:r>
      <w:r>
        <w:rPr>
          <w:b/>
        </w:rPr>
        <w:t>x пятки УК = 2 + L КР2 + L УК − h</w:t>
      </w:r>
      <w:r>
        <w:t>. Здесь h — знаковая разность координат свободных торцов КР2 и УК. При положительном частичном вложении она описывает продольное перекрытие габаритов, но не разрешённую рабочую длину соединения. Число h, его допустимые пределы и положение УК пока не определены. Координату ближайшей поверхности ГП нельзя подставлять вместо координаты пятки УК.</w:t>
      </w:r>
    </w:p>
    <w:p>
      <w:r>
        <w:t xml:space="preserve">В списке остаются семь монтажных зависимостей. Первые две теперь </w:t>
      </w:r>
      <w:r>
        <w:rPr>
          <w:b/>
        </w:rPr>
        <w:t>частично подтверждены</w:t>
      </w:r>
      <w:r>
        <w:t xml:space="preserve"> по номинальной схеме; их применимость к фактической установке и продолжение цепи остаются отдельными вопросами:</w:t>
      </w:r>
    </w:p>
    <w:p>
      <w:pPr>
        <w:ind w:left="317" w:hanging="317"/>
      </w:pPr>
      <w:r>
        <w:t>• положение монтажной базы КР2 относительно стены — номинально определено;</w:t>
      </w:r>
    </w:p>
    <w:p>
      <w:pPr>
        <w:ind w:left="317" w:hanging="317"/>
      </w:pPr>
      <w:r>
        <w:t>• базы длины L кронштейна КР2 — номинальный торец определён;</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В том же альбоме на PDF 34, 37, 44 и 46 есть минимум 30 мм для пары КР2–УК в других типах системы. Это подтверждённые аналоги, но не установленное правило пилота 4.2.1: программа не назначает по ним h и не вычисляет допустимый ход как L УК − 30 мм.</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номинальный торец КР2 и оставшиеся неизвестные связи;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На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проверка может сообщить, что прежняя схема создана другой версией алгоритма.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используйте ATFNODE.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Наличие края выбранной зоны само по себе не обозначает внешний угол здания. При отсутствии явно заданных углов крайние направляющие могут отсутствовать. Для отдельной учебной стены задайте оба наружных края как углы; для фрагмента большой стены указывайте только действительные углы здания.</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808" w:name="chapter_15"/>
      <w:pPr>
        <w:pStyle w:val="Heading1"/>
      </w:pPr>
      <w:r>
        <w:t>14 Размеры и поиск дублей</w:t>
      </w:r>
      <w:bookmarkEnd w:id="808"/>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816" w:name="chapter_16"/>
      <w:pPr>
        <w:pStyle w:val="Heading1"/>
      </w:pPr>
      <w:r>
        <w:t>15 Зачем осталась команда ATCLAD</w:t>
      </w:r>
      <w:bookmarkEnd w:id="816"/>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824" w:name="chapter_17"/>
      <w:pPr>
        <w:pStyle w:val="Heading1"/>
      </w:pPr>
      <w:r>
        <w:t>16 Частые ошибки что делать по сообщению</w:t>
      </w:r>
      <w:bookmarkEnd w:id="824"/>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Предупреждение о версиях модулей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Загружены разные выпуски или отсутствуют сведения о версии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Закрыть AutoCAD, убрать старые копии и установить три папки одного выпуска</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изменена либо зона создана старой версией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старой зоны сначала ATFZONEACCEPT по разделу 10.3; для изменённой современной зоны — раздел 10.2</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«Монтажная принадлежность не определена»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кронштейн — кандидат для нескольких отдельных кусков ГП; ошибка монтажа не установлена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Сверить ID кронштейна и направляющих из предупреждения с проектным узлом; совпадение не назначает опору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ID кронштейна отсутствует среди ссылок кандидатов опор</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проверенном составе деталь есть, а в паспорте нет ссылки на неё как на кандидата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Сверить ID и зону с проектным узлом; деталь не удалять как лишнюю по одному сообщению</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ATFTABLE сообщает «ПСК изменилась во время команды»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ПСК новой вставки изменена после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ATFTABLE при неизменной ПСК; прежняя таблица и файл сохраняются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Короткий кусок выделен красным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При старте 300 мм участок до 600 мм включительно построен с одним кронштейном по центру; расчёт не подтверждён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Найти координаты в F2 и ведомости, проверить проектное закрепление; остальная геометрия строится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Красным отмечена перегрузка куска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Профиль, кронштейн или анкер не проходят применённую проверку; геометрия сохранена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данные и проектное решение. Не считать частичный результат прошедшим расчётом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раздел 10.5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880" w:name="chapter_18"/>
      <w:pPr>
        <w:pStyle w:val="Heading1"/>
      </w:pPr>
      <w:r>
        <w:t>17 Сохранение и передача результата</w:t>
      </w:r>
      <w:bookmarkEnd w:id="880"/>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условиями номинальной цепи и перечнем оставшихся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При красных кусках проверьте после открытия, что ведомость подсистемы и Excel по-прежнему показывают их координаты и причины. Передайте этот список вместе с DWG. Скрытие служебного слоя или ручное изменение цвета не снимает расчётное замечание.</w:t>
      </w:r>
    </w:p>
    <w:p>
      <w:r>
        <w:t xml:space="preserve">Контрольные снимки не заменяют внешний </w:t>
      </w:r>
      <w:r>
        <w:rPr>
          <w:rFonts w:ascii="DejaVu Sans Mono" w:hAnsi="DejaVu Sans Mono"/>
          <w:sz w:val="19"/>
        </w:rPr>
        <w:t>_fzones.json</w:t>
      </w:r>
      <w:r>
        <w:t xml:space="preserve">: храните соответствующий файл рядом с DWG. После «Сохранить как» под новым именем копируйте родной JSON в новую папку и называйте по новому DWG: для </w:t>
      </w:r>
      <w:r>
        <w:rPr>
          <w:rFonts w:ascii="DejaVu Sans Mono" w:hAnsi="DejaVu Sans Mono"/>
          <w:sz w:val="19"/>
        </w:rPr>
        <w:t>Facade_copy.dwg</w:t>
      </w:r>
      <w:r>
        <w:t xml:space="preserve"> нужен </w:t>
      </w:r>
      <w:r>
        <w:rPr>
          <w:rFonts w:ascii="DejaVu Sans Mono" w:hAnsi="DejaVu Sans Mono"/>
          <w:sz w:val="19"/>
        </w:rPr>
        <w:t>Facade_copy_fzones.json</w:t>
      </w:r>
      <w:r>
        <w:t>. Само сохранение DWG не означает автоматический перенос внешнего файла.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hyperlink r:id="rId26">
        <w:r>
          <w:rPr>
            <w:color w:val="245D83"/>
          </w:rPr>
          <w:t>03_reference_rect.dxf</w:t>
        </w:r>
      </w:hyperlink>
      <w:r>
        <w:t xml:space="preserve"> и </w:t>
      </w:r>
      <w:hyperlink r:id="rId27">
        <w:r>
          <w:rPr>
            <w:color w:val="245D83"/>
          </w:rPr>
          <w:t>04_reference_gable.dxf</w:t>
        </w:r>
      </w:hyperlink>
      <w:r>
        <w:t xml:space="preserve"> показывают геометрию результата, но </w:t>
      </w:r>
      <w:r>
        <w:rPr>
          <w:b/>
        </w:rPr>
        <w:t>не содержат созданных внутри AutoCAD служебных связей зон и команд построения</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896" w:name="chapter_19"/>
      <w:pPr>
        <w:pStyle w:val="Heading1"/>
      </w:pPr>
      <w:r>
        <w:t>18 Как сообщить о проблеме чтобы её можно было исправить</w:t>
      </w:r>
      <w:bookmarkEnd w:id="896"/>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902" w:name="chapter_20"/>
      <w:pPr>
        <w:pStyle w:val="Heading1"/>
      </w:pPr>
      <w:r>
        <w:t>19 Словарь начинающего пользователя</w:t>
      </w:r>
      <w:bookmarkEnd w:id="902"/>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938" w:name="chapter_21"/>
      <w:pPr>
        <w:pStyle w:val="Heading1"/>
        <w:pageBreakBefore/>
      </w:pPr>
      <w:r>
        <w:t>20 Финальная самопроверка первого урока</w:t>
      </w:r>
      <w:bookmarkEnd w:id="938"/>
    </w:p>
    <w:p>
      <w:r>
        <w:t>Урок выполнен, когда вы самостоятельно повторили цепочку и проверили результат:</w:t>
      </w:r>
    </w:p>
    <w:p>
      <w:pPr>
        <w:ind w:left="317" w:hanging="317"/>
      </w:pPr>
      <w:r>
        <w:t>• три модуля одного выпуска загрузились; номер записан, открыта соответствующая пара DWG и JSON;</w:t>
      </w:r>
    </w:p>
    <w:p>
      <w:pPr>
        <w:ind w:left="317" w:hanging="317"/>
      </w:pPr>
      <w:r>
        <w:t>• зона У-1 содержит два окна, площадь нетто равна 32,40 м²; новые проёмы явно включены в ATFZONE;</w:t>
      </w:r>
    </w:p>
    <w:p>
      <w:pPr>
        <w:ind w:left="317" w:hanging="317"/>
      </w:pPr>
      <w:r>
        <w:t>• плитка 290×82 мм, швы 7/7 мм, разбежка через ряд на 1/2 модуля, отсчёт ПН; окна свободны, подрезки и предупреждения просмотрены;</w:t>
      </w:r>
    </w:p>
    <w:p>
      <w:pPr>
        <w:ind w:left="317" w:hanging="317"/>
      </w:pPr>
      <w:r>
        <w:t>• ATFRAME прочитал ряды ATTILE и построил учебную вертикальную подсистему с шинами; после изменения исходников повторена вся цепочка;</w:t>
      </w:r>
    </w:p>
    <w:p>
      <w:pPr>
        <w:ind w:left="317" w:hanging="317"/>
      </w:pPr>
      <w:r>
        <w:t>• ведомости получены в DWG и XLSX; площади, погонажи и выбранные детали сверены с чертежом;</w:t>
      </w:r>
    </w:p>
    <w:p>
      <w:pPr>
        <w:ind w:left="317" w:hanging="317"/>
      </w:pPr>
      <w:r>
        <w:t>• ведомость облицовки показывает 1331 установленную деталь точного первого урока; заготовки и отходы не прибавлены к этому числу;</w:t>
      </w:r>
    </w:p>
    <w:p>
      <w:pPr>
        <w:ind w:left="317" w:hanging="317"/>
      </w:pPr>
      <w:r>
        <w:t>• ведомость подсистемы проверена по категориям и длинам; оценка хлыстов отделена от установленного состава и не принята за закупку;</w:t>
      </w:r>
    </w:p>
    <w:p>
      <w:pPr>
        <w:ind w:left="317" w:hanging="317"/>
      </w:pPr>
      <w:r>
        <w:t>• в дополнительных оконных тестах красные куски найдены по списку F2; замечания сверены с ведомостью и Excel после сохранения и открытия;</w:t>
      </w:r>
    </w:p>
    <w:p>
      <w:pPr>
        <w:ind w:left="317" w:hanging="317"/>
      </w:pPr>
      <w:r>
        <w:t>• понятны границы результата: учебная геометрия не является готовым проектом, паспорт соединений не поддерживает этот пример бетонной плитки, ограниченный расчёт не подтверждает весь монтажный узел;</w:t>
      </w:r>
    </w:p>
    <w:p>
      <w:pPr>
        <w:ind w:left="317" w:hanging="317"/>
      </w:pPr>
      <w:r>
        <w:t>• известно, какие исходники и команды обновлять; сохранены рабочая пара файлов и контрольная копия до экспериментов.</w:t>
      </w:r>
    </w:p>
    <w:p>
      <w:r>
        <w:t>Следующие учебные шаги — фасад с пятнадцатью окнами из разделов 7.4–7.5, ленточные окна и низкий подоконник из раздела 7.6, другой рисунок ATTILE и фронтон. Рабочий объект начинайте с одной небольшой зоны, сверенной вручную, затем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releases/tag/build-107" TargetMode="External"/><Relationship Id="rId12" Type="http://schemas.openxmlformats.org/officeDocument/2006/relationships/image" Target="media/image1.png"/><Relationship Id="rId13" Type="http://schemas.openxmlformats.org/officeDocument/2006/relationships/hyperlink" Target="https://github.com/zinchenko-denis/AutoCAD/raw/refs/heads/feat/auto-reactor/docs/facades_beginner_3009/assets/01_source_rect.dxf"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yperlink" Target="https://github.com/zinchenko-denis/AutoCAD/raw/refs/heads/feat/auto-reactor/docs/pilot/assets/Facade_18x12_15windows.dxf" TargetMode="External"/><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github.com/zinchenko-denis/AutoCAD/raw/refs/heads/feat/auto-reactor/docs/facades_beginner_3009/assets/02_source_gable.dxf" TargetMode="External"/><Relationship Id="rId26" Type="http://schemas.openxmlformats.org/officeDocument/2006/relationships/hyperlink" Target="https://github.com/zinchenko-denis/AutoCAD/raw/refs/heads/feat/auto-reactor/docs/facades_beginner_3009/assets/03_reference_rect.dxf" TargetMode="External"/><Relationship Id="rId27" Type="http://schemas.openxmlformats.org/officeDocument/2006/relationships/hyperlink" Target="https://github.com/zinchenko-denis/AutoCAD/raw/refs/heads/feat/auto-reactor/docs/facades_beginner_3009/assets/04_reference_gable.dx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cp:keywords>
  <dc:description>generated by python-docx</dc:description>
  <cp:lastModifiedBy/>
  <cp:revision>1</cp:revision>
  <dcterms:created xsi:type="dcterms:W3CDTF">2013-12-23T23:15:00Z</dcterms:created>
  <dcterms:modified xsi:type="dcterms:W3CDTF">2013-12-23T23:15:00Z</dcterms:modified>
  <cp:category/>
</cp:coreProperties>
</file>