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sz w:val="72"/>
          <w:szCs w:val="72"/>
        </w:rPr>
        <w:t xml:space="preserve">🇲🇦</w:t>
      </w:r>
    </w:p>
    <w:p>
      <w:pPr>
        <w:spacing w:after="160"/>
        <w:jc w:val="center"/>
      </w:pPr>
      <w:r>
        <w:rPr>
          <w:rFonts w:ascii="Arial" w:cs="Arial" w:eastAsia="Arial" w:hAnsi="Arial"/>
          <w:b/>
          <w:bCs/>
          <w:color w:val="C0392B"/>
          <w:sz w:val="52"/>
          <w:szCs w:val="52"/>
        </w:rPr>
        <w:t xml:space="preserve">La Politique Financière du Maroc</w:t>
      </w:r>
    </w:p>
    <w:p>
      <w:pPr>
        <w:spacing w:after="120"/>
        <w:jc w:val="center"/>
      </w:pPr>
      <w:r>
        <w:rPr>
          <w:rFonts w:ascii="Arial" w:cs="Arial" w:eastAsia="Arial" w:hAnsi="Arial"/>
          <w:color w:val="2C3E50"/>
          <w:sz w:val="28"/>
          <w:szCs w:val="28"/>
        </w:rPr>
        <w:t xml:space="preserve">Analyse Complète : Objectifs, Instruments, Acteurs et Impacts</w:t>
      </w:r>
    </w:p>
    <w:p>
      <w:pPr>
        <w:spacing w:after="720"/>
        <w:jc w:val="center"/>
      </w:pPr>
      <w:r>
        <w:rPr>
          <w:rFonts w:ascii="Arial" w:cs="Arial" w:eastAsia="Arial" w:hAnsi="Arial"/>
          <w:i/>
          <w:iCs/>
          <w:color w:val="888888"/>
          <w:sz w:val="20"/>
          <w:szCs w:val="20"/>
        </w:rPr>
        <w:t xml:space="preserve">Données actualisées 2024–2025  |  Sources : FMI, OCDE, Ministère des Finances, Bank Al-Maghrib</w:t>
      </w:r>
    </w:p>
    <w:p>
      <w:pPr>
        <w:pStyle w:val="Heading1"/>
        <w:pBdr>
          <w:bottom w:val="single" w:color="C0392B" w:sz="6" w:space="1"/>
        </w:pBdr>
        <w:spacing w:before="360" w:after="120"/>
      </w:pPr>
      <w:r>
        <w:rPr>
          <w:rFonts w:ascii="Arial" w:cs="Arial" w:eastAsia="Arial" w:hAnsi="Arial"/>
          <w:b/>
          <w:bCs/>
          <w:color w:val="C0392B"/>
          <w:sz w:val="28"/>
          <w:szCs w:val="28"/>
        </w:rPr>
        <w:t xml:space="preserve">I. Définition et Objectifs</w:t>
      </w:r>
    </w:p>
    <w:p>
      <w:pPr>
        <w:spacing w:after="120"/>
        <w:jc w:val="both"/>
      </w:pPr>
      <w:r>
        <w:rPr>
          <w:rFonts w:ascii="Arial" w:cs="Arial" w:eastAsia="Arial" w:hAnsi="Arial"/>
          <w:sz w:val="22"/>
          <w:szCs w:val="22"/>
        </w:rPr>
        <w:t xml:space="preserve">La politique financière du Maroc désigne l'ensemble des décisions et instruments mobilisés par l'État et ses institutions pour orienter l'économie nationale. Elle se décompose en deux branches complémentaires : la politique budgétaire (gestion des dépenses et recettes publiques) et la politique monétaire (régulation de la monnaie et du crédit).</w:t>
      </w:r>
    </w:p>
    <w:p>
      <w:pPr>
        <w:spacing w:after="120"/>
        <w:jc w:val="both"/>
      </w:pPr>
      <w:r>
        <w:rPr>
          <w:rFonts w:ascii="Arial" w:cs="Arial" w:eastAsia="Arial" w:hAnsi="Arial"/>
          <w:sz w:val="22"/>
          <w:szCs w:val="22"/>
        </w:rPr>
        <w:t xml:space="preserve">Les cinq grands axes articulés de manière cohérente depuis plusieurs années sont les suivants :</w:t>
      </w:r>
    </w:p>
    <w:p>
      <w:pPr>
        <w:spacing w:after="100"/>
        <w:jc w:val="both"/>
      </w:pPr>
      <w:r>
        <w:rPr>
          <w:rFonts w:ascii="Arial" w:cs="Arial" w:eastAsia="Arial" w:hAnsi="Arial"/>
          <w:b/>
          <w:bCs/>
          <w:sz w:val="22"/>
          <w:szCs w:val="22"/>
        </w:rPr>
        <w:t xml:space="preserve">Stabilité macroéconomique. </w:t>
      </w:r>
      <w:r>
        <w:rPr>
          <w:rFonts w:ascii="Arial" w:cs="Arial" w:eastAsia="Arial" w:hAnsi="Arial"/>
          <w:sz w:val="22"/>
          <w:szCs w:val="22"/>
        </w:rPr>
        <w:t xml:space="preserve">Le Maroc vise à maintenir un déficit budgétaire maîtrisé, avec une trajectoire de réduction de 4 % du PIB en 2024 vers 3,5 % en 2025 et 3 % en 2026. L'inflation doit rester contenue autour de 2 %. Ce pilier est fondamental pour préserver la crédibilité du pays auprès des marchés financiers et des institutions internationales.</w:t>
      </w:r>
    </w:p>
    <w:p>
      <w:pPr>
        <w:spacing w:after="100"/>
        <w:jc w:val="both"/>
      </w:pPr>
      <w:r>
        <w:rPr>
          <w:rFonts w:ascii="Arial" w:cs="Arial" w:eastAsia="Arial" w:hAnsi="Arial"/>
          <w:b/>
          <w:bCs/>
          <w:sz w:val="22"/>
          <w:szCs w:val="22"/>
        </w:rPr>
        <w:t xml:space="preserve">Croissance inclusive et diversifiée. </w:t>
      </w:r>
      <w:r>
        <w:rPr>
          <w:rFonts w:ascii="Arial" w:cs="Arial" w:eastAsia="Arial" w:hAnsi="Arial"/>
          <w:sz w:val="22"/>
          <w:szCs w:val="22"/>
        </w:rPr>
        <w:t xml:space="preserve">Le gouvernement cible une croissance de 4,6 % du PIB en 2025, portée par les secteurs non agricoles — tourisme, industrie, phosphates, automobile, aéronautique — afin de réduire la dépendance aux aléas climatiques.</w:t>
      </w:r>
    </w:p>
    <w:p>
      <w:pPr>
        <w:spacing w:after="100"/>
        <w:jc w:val="both"/>
      </w:pPr>
      <w:r>
        <w:rPr>
          <w:rFonts w:ascii="Arial" w:cs="Arial" w:eastAsia="Arial" w:hAnsi="Arial"/>
          <w:b/>
          <w:bCs/>
          <w:sz w:val="22"/>
          <w:szCs w:val="22"/>
        </w:rPr>
        <w:t xml:space="preserve">Développement de l'État social. </w:t>
      </w:r>
      <w:r>
        <w:rPr>
          <w:rFonts w:ascii="Arial" w:cs="Arial" w:eastAsia="Arial" w:hAnsi="Arial"/>
          <w:sz w:val="22"/>
          <w:szCs w:val="22"/>
        </w:rPr>
        <w:t xml:space="preserve">La généralisation de la protection sociale représente le chantier phare : assurance maladie obligatoire (AMO), aide sociale directe, réforme de l'éducation et de la santé.</w:t>
      </w:r>
    </w:p>
    <w:p>
      <w:pPr>
        <w:spacing w:after="100"/>
        <w:jc w:val="both"/>
      </w:pPr>
      <w:r>
        <w:rPr>
          <w:rFonts w:ascii="Arial" w:cs="Arial" w:eastAsia="Arial" w:hAnsi="Arial"/>
          <w:b/>
          <w:bCs/>
          <w:sz w:val="22"/>
          <w:szCs w:val="22"/>
        </w:rPr>
        <w:t xml:space="preserve">Promotion de l'investissement. </w:t>
      </w:r>
      <w:r>
        <w:rPr>
          <w:rFonts w:ascii="Arial" w:cs="Arial" w:eastAsia="Arial" w:hAnsi="Arial"/>
          <w:sz w:val="22"/>
          <w:szCs w:val="22"/>
        </w:rPr>
        <w:t xml:space="preserve">L'objectif affiché est d'atteindre 340 milliards de dirhams d'investissement public en 2025, en mobilisant également le secteur privé via la Charte de l'investissement adoptée en 2022.</w:t>
      </w:r>
    </w:p>
    <w:p>
      <w:pPr>
        <w:spacing w:after="100"/>
        <w:jc w:val="both"/>
      </w:pPr>
      <w:r>
        <w:rPr>
          <w:rFonts w:ascii="Arial" w:cs="Arial" w:eastAsia="Arial" w:hAnsi="Arial"/>
          <w:b/>
          <w:bCs/>
          <w:sz w:val="22"/>
          <w:szCs w:val="22"/>
        </w:rPr>
        <w:t xml:space="preserve">Soutenabilité de la dette. </w:t>
      </w:r>
      <w:r>
        <w:rPr>
          <w:rFonts w:ascii="Arial" w:cs="Arial" w:eastAsia="Arial" w:hAnsi="Arial"/>
          <w:sz w:val="22"/>
          <w:szCs w:val="22"/>
        </w:rPr>
        <w:t xml:space="preserve">Dans un contexte de tensions géopolitiques mondiales et de crises climatiques, le Maroc s'attache à renforcer ses réserves en devises et à diversifier ses partenariats financiers.</w:t>
      </w:r>
    </w:p>
    <w:p>
      <w:pPr>
        <w:pStyle w:val="Heading1"/>
        <w:pBdr>
          <w:bottom w:val="single" w:color="C0392B" w:sz="6" w:space="1"/>
        </w:pBdr>
        <w:spacing w:before="360" w:after="120"/>
      </w:pPr>
      <w:r>
        <w:rPr>
          <w:rFonts w:ascii="Arial" w:cs="Arial" w:eastAsia="Arial" w:hAnsi="Arial"/>
          <w:b/>
          <w:bCs/>
          <w:color w:val="C0392B"/>
          <w:sz w:val="28"/>
          <w:szCs w:val="28"/>
        </w:rPr>
        <w:t xml:space="preserve">II. Les Acteurs Principaux</w:t>
      </w:r>
    </w:p>
    <w:p>
      <w:pPr>
        <w:spacing w:after="100"/>
        <w:jc w:val="both"/>
      </w:pPr>
      <w:r>
        <w:rPr>
          <w:rFonts w:ascii="Arial" w:cs="Arial" w:eastAsia="Arial" w:hAnsi="Arial"/>
          <w:b/>
          <w:bCs/>
          <w:sz w:val="22"/>
          <w:szCs w:val="22"/>
        </w:rPr>
        <w:t xml:space="preserve">Le Ministère de l'Économie et des Finances </w:t>
      </w:r>
      <w:r>
        <w:rPr>
          <w:rFonts w:ascii="Arial" w:cs="Arial" w:eastAsia="Arial" w:hAnsi="Arial"/>
          <w:sz w:val="22"/>
          <w:szCs w:val="22"/>
        </w:rPr>
        <w:t xml:space="preserve">(dirigé par Nadia Fettah depuis 2021) est le chef d'orchestre de la politique budgétaire et fiscale. Il élabore la Loi de Finances annuelle, pilote la réforme fiscale, gère la dette publique et supervise le Trésor, la DGI et l'Administration des Douanes.</w:t>
      </w:r>
    </w:p>
    <w:p>
      <w:pPr>
        <w:spacing w:after="100"/>
        <w:jc w:val="both"/>
      </w:pPr>
      <w:r>
        <w:rPr>
          <w:rFonts w:ascii="Arial" w:cs="Arial" w:eastAsia="Arial" w:hAnsi="Arial"/>
          <w:b/>
          <w:bCs/>
          <w:sz w:val="22"/>
          <w:szCs w:val="22"/>
        </w:rPr>
        <w:t xml:space="preserve">Bank Al-Maghrib (BAM), </w:t>
      </w:r>
      <w:r>
        <w:rPr>
          <w:rFonts w:ascii="Arial" w:cs="Arial" w:eastAsia="Arial" w:hAnsi="Arial"/>
          <w:sz w:val="22"/>
          <w:szCs w:val="22"/>
        </w:rPr>
        <w:t xml:space="preserve">la banque centrale sous la gouvernance d'Abdellatif Jouahri, est l'acteur exclusif de la politique monétaire. Elle fixe le taux directeur, régule les banques commerciales, gère les réserves en devises et veille à la stabilité financière. Son indépendance opérationnelle est un gage de crédibilité internationale.</w:t>
      </w:r>
    </w:p>
    <w:p>
      <w:pPr>
        <w:spacing w:after="100"/>
        <w:jc w:val="both"/>
      </w:pPr>
      <w:r>
        <w:rPr>
          <w:rFonts w:ascii="Arial" w:cs="Arial" w:eastAsia="Arial" w:hAnsi="Arial"/>
          <w:b/>
          <w:bCs/>
          <w:sz w:val="22"/>
          <w:szCs w:val="22"/>
        </w:rPr>
        <w:t xml:space="preserve">Le Parlement </w:t>
      </w:r>
      <w:r>
        <w:rPr>
          <w:rFonts w:ascii="Arial" w:cs="Arial" w:eastAsia="Arial" w:hAnsi="Arial"/>
          <w:sz w:val="22"/>
          <w:szCs w:val="22"/>
        </w:rPr>
        <w:t xml:space="preserve">adopte la loi de finances et peut amender les orientations budgétaires. Le Haut Commissariat au Plan (HCP) produit les prévisions macroéconomiques. Le Fonds Mohammed VI pour l'Investissement mobilise des capitaux pour les grands projets. Le FMI et la Banque mondiale accompagnent les réformes structurelles.</w:t>
      </w:r>
    </w:p>
    <w:p>
      <w:pPr>
        <w:pStyle w:val="Heading1"/>
        <w:pBdr>
          <w:bottom w:val="single" w:color="C0392B" w:sz="6" w:space="1"/>
        </w:pBdr>
        <w:spacing w:before="360" w:after="120"/>
      </w:pPr>
      <w:r>
        <w:rPr>
          <w:rFonts w:ascii="Arial" w:cs="Arial" w:eastAsia="Arial" w:hAnsi="Arial"/>
          <w:b/>
          <w:bCs/>
          <w:color w:val="C0392B"/>
          <w:sz w:val="28"/>
          <w:szCs w:val="28"/>
        </w:rPr>
        <w:t xml:space="preserve">III. Les Instruments de la Politique Financière</w:t>
      </w:r>
    </w:p>
    <w:p>
      <w:pPr>
        <w:pStyle w:val="Heading2"/>
        <w:spacing w:before="240" w:after="80"/>
      </w:pPr>
      <w:r>
        <w:rPr>
          <w:rFonts w:ascii="Arial" w:cs="Arial" w:eastAsia="Arial" w:hAnsi="Arial"/>
          <w:b/>
          <w:bCs/>
          <w:color w:val="2C3E50"/>
          <w:sz w:val="24"/>
          <w:szCs w:val="24"/>
        </w:rPr>
        <w:t xml:space="preserve">Sur le plan budgétaire</w:t>
      </w:r>
    </w:p>
    <w:p>
      <w:pPr>
        <w:spacing w:after="120"/>
        <w:jc w:val="both"/>
      </w:pPr>
      <w:r>
        <w:rPr>
          <w:rFonts w:ascii="Arial" w:cs="Arial" w:eastAsia="Arial" w:hAnsi="Arial"/>
          <w:sz w:val="22"/>
          <w:szCs w:val="22"/>
        </w:rPr>
        <w:t xml:space="preserve">La politique fiscale constitue le levier principal, avec une réforme progressive de l'IS, de l'IR et de la TVA. La Loi-cadre sur la réforme fiscale (2021) vise à élargir l'assiette fiscale et à réduire les inégalités fiscales sans alourdir la charge sur les entreprises. Les dépenses publiques d'investissement sont l'autre grand levier, avec priorité aux infrastructures, à la santé et à l'éducation.</w:t>
      </w:r>
    </w:p>
    <w:p>
      <w:pPr>
        <w:pStyle w:val="Heading2"/>
        <w:spacing w:before="240" w:after="80"/>
      </w:pPr>
      <w:r>
        <w:rPr>
          <w:rFonts w:ascii="Arial" w:cs="Arial" w:eastAsia="Arial" w:hAnsi="Arial"/>
          <w:b/>
          <w:bCs/>
          <w:color w:val="2C3E50"/>
          <w:sz w:val="24"/>
          <w:szCs w:val="24"/>
        </w:rPr>
        <w:t xml:space="preserve">Sur le plan monétaire</w:t>
      </w:r>
    </w:p>
    <w:p>
      <w:pPr>
        <w:spacing w:after="120"/>
        <w:jc w:val="both"/>
      </w:pPr>
      <w:r>
        <w:rPr>
          <w:rFonts w:ascii="Arial" w:cs="Arial" w:eastAsia="Arial" w:hAnsi="Arial"/>
          <w:sz w:val="22"/>
          <w:szCs w:val="22"/>
        </w:rPr>
        <w:t xml:space="preserve">Bank Al-Maghrib utilise principalement le taux directeur. Après l'avoir maintenu à 3 % entre mars 2023 et septembre 2024 pour contenir l'inflation post-Covid, elle l'a réduit à 2,75 % en septembre 2024, puis à 2,5 % en décembre 2024, et à 2,25 % en mars 2025. Ce cycle d'assouplissement vise à relancer le crédit dans un contexte de désinflation.</w:t>
      </w:r>
    </w:p>
    <w:p>
      <w:pPr>
        <w:pStyle w:val="Heading2"/>
        <w:spacing w:before="240" w:after="80"/>
      </w:pPr>
      <w:r>
        <w:rPr>
          <w:rFonts w:ascii="Arial" w:cs="Arial" w:eastAsia="Arial" w:hAnsi="Arial"/>
          <w:b/>
          <w:bCs/>
          <w:color w:val="2C3E50"/>
          <w:sz w:val="24"/>
          <w:szCs w:val="24"/>
        </w:rPr>
        <w:t xml:space="preserve">Les instruments de change</w:t>
      </w:r>
    </w:p>
    <w:p>
      <w:pPr>
        <w:spacing w:after="120"/>
        <w:jc w:val="both"/>
      </w:pPr>
      <w:r>
        <w:rPr>
          <w:rFonts w:ascii="Arial" w:cs="Arial" w:eastAsia="Arial" w:hAnsi="Arial"/>
          <w:sz w:val="22"/>
          <w:szCs w:val="22"/>
        </w:rPr>
        <w:t xml:space="preserve">Depuis 2018, le Maroc a engagé une réforme progressive de son régime de change, passant d'un taux fixe à un régime de flottement dirigé dans une bande s'élargissant progressivement. Cette flexibilité améliore la compétitivité des exportations et la résilience aux chocs extérieurs.</w:t>
      </w:r>
    </w:p>
    <w:p>
      <w:pPr>
        <w:pStyle w:val="Heading1"/>
        <w:pBdr>
          <w:bottom w:val="single" w:color="C0392B" w:sz="6" w:space="1"/>
        </w:pBdr>
        <w:spacing w:before="360" w:after="120"/>
      </w:pPr>
      <w:r>
        <w:rPr>
          <w:rFonts w:ascii="Arial" w:cs="Arial" w:eastAsia="Arial" w:hAnsi="Arial"/>
          <w:b/>
          <w:bCs/>
          <w:color w:val="C0392B"/>
          <w:sz w:val="28"/>
          <w:szCs w:val="28"/>
        </w:rPr>
        <w:t xml:space="preserve">IV. Impact sur les Grands Indicateurs</w:t>
      </w:r>
    </w:p>
    <w:p>
      <w:pPr>
        <w:spacing w:after="100"/>
        <w:jc w:val="both"/>
      </w:pPr>
      <w:r>
        <w:rPr>
          <w:rFonts w:ascii="Arial" w:cs="Arial" w:eastAsia="Arial" w:hAnsi="Arial"/>
          <w:b/>
          <w:bCs/>
          <w:sz w:val="22"/>
          <w:szCs w:val="22"/>
        </w:rPr>
        <w:t xml:space="preserve">Croissance économique. </w:t>
      </w:r>
      <w:r>
        <w:rPr>
          <w:rFonts w:ascii="Arial" w:cs="Arial" w:eastAsia="Arial" w:hAnsi="Arial"/>
          <w:sz w:val="22"/>
          <w:szCs w:val="22"/>
        </w:rPr>
        <w:t xml:space="preserve">L'économie marocaine a démontré une remarquable résilience : l'activité économique s'est établie à 3,2 % en 2024 contre 3,4 % en 2023. La croissance du PIB réel devrait atteindre 3,8 % en 2025 et 2026, tirée par la demande intérieure, le tourisme et l'industrie.</w:t>
      </w:r>
    </w:p>
    <w:p>
      <w:pPr>
        <w:spacing w:after="100"/>
        <w:jc w:val="both"/>
      </w:pPr>
      <w:r>
        <w:rPr>
          <w:rFonts w:ascii="Arial" w:cs="Arial" w:eastAsia="Arial" w:hAnsi="Arial"/>
          <w:b/>
          <w:bCs/>
          <w:sz w:val="22"/>
          <w:szCs w:val="22"/>
        </w:rPr>
        <w:t xml:space="preserve">Inflation. </w:t>
      </w:r>
      <w:r>
        <w:rPr>
          <w:rFonts w:ascii="Arial" w:cs="Arial" w:eastAsia="Arial" w:hAnsi="Arial"/>
          <w:sz w:val="22"/>
          <w:szCs w:val="22"/>
        </w:rPr>
        <w:t xml:space="preserve">L'inflation a été réduite à 1,1 % à fin août 2024, grâce à une intervention ciblée sur les intrants agricoles. Avec ce repli, Bank Al-Maghrib a poursuivi son cycle d'assouplissement en abaissant son taux directeur à 2,25 % en mars 2025.</w:t>
      </w:r>
    </w:p>
    <w:p>
      <w:pPr>
        <w:spacing w:after="100"/>
        <w:jc w:val="both"/>
      </w:pPr>
      <w:r>
        <w:rPr>
          <w:rFonts w:ascii="Arial" w:cs="Arial" w:eastAsia="Arial" w:hAnsi="Arial"/>
          <w:b/>
          <w:bCs/>
          <w:sz w:val="22"/>
          <w:szCs w:val="22"/>
        </w:rPr>
        <w:t xml:space="preserve">Emploi. </w:t>
      </w:r>
      <w:r>
        <w:rPr>
          <w:rFonts w:ascii="Arial" w:cs="Arial" w:eastAsia="Arial" w:hAnsi="Arial"/>
          <w:sz w:val="22"/>
          <w:szCs w:val="22"/>
        </w:rPr>
        <w:t xml:space="preserve">C'est le talon d'Achille de la politique financière marocaine. Le chômage est resté élevé à environ 13 %, principalement en raison des pertes d'emplois dans le secteur agricole. Les effets structurels tardent à se matérialiser, notamment pour les jeunes diplômés.</w:t>
      </w:r>
    </w:p>
    <w:p>
      <w:pPr>
        <w:spacing w:after="100"/>
        <w:jc w:val="both"/>
      </w:pPr>
      <w:r>
        <w:rPr>
          <w:rFonts w:ascii="Arial" w:cs="Arial" w:eastAsia="Arial" w:hAnsi="Arial"/>
          <w:b/>
          <w:bCs/>
          <w:sz w:val="22"/>
          <w:szCs w:val="22"/>
        </w:rPr>
        <w:t xml:space="preserve">Investissement. </w:t>
      </w:r>
      <w:r>
        <w:rPr>
          <w:rFonts w:ascii="Arial" w:cs="Arial" w:eastAsia="Arial" w:hAnsi="Arial"/>
          <w:sz w:val="22"/>
          <w:szCs w:val="22"/>
        </w:rPr>
        <w:t xml:space="preserve">L'investissement direct étranger reste soutenu avec de nouvelles unités de production dans l'aéronautique, le textile et l'agroalimentaire. L'objectif est d'atteindre 340 milliards de DH via un cadre réglementaire incitatif.</w:t>
      </w:r>
    </w:p>
    <w:p>
      <w:pPr>
        <w:pStyle w:val="Heading1"/>
        <w:pBdr>
          <w:bottom w:val="single" w:color="C0392B" w:sz="6" w:space="1"/>
        </w:pBdr>
        <w:spacing w:before="360" w:after="120"/>
      </w:pPr>
      <w:r>
        <w:rPr>
          <w:rFonts w:ascii="Arial" w:cs="Arial" w:eastAsia="Arial" w:hAnsi="Arial"/>
          <w:b/>
          <w:bCs/>
          <w:color w:val="C0392B"/>
          <w:sz w:val="28"/>
          <w:szCs w:val="28"/>
        </w:rPr>
        <w:t xml:space="preserve">V. Mesures Récentes et Analyse de leurs Effets</w:t>
      </w:r>
    </w:p>
    <w:p>
      <w:pPr>
        <w:pStyle w:val="Heading2"/>
        <w:spacing w:before="240" w:after="80"/>
      </w:pPr>
      <w:r>
        <w:rPr>
          <w:rFonts w:ascii="Arial" w:cs="Arial" w:eastAsia="Arial" w:hAnsi="Arial"/>
          <w:b/>
          <w:bCs/>
          <w:color w:val="2C3E50"/>
          <w:sz w:val="24"/>
          <w:szCs w:val="24"/>
        </w:rPr>
        <w:t xml:space="preserve">1. Généralisation de la protection sociale (2021–2025)</w:t>
      </w:r>
    </w:p>
    <w:p>
      <w:pPr>
        <w:spacing w:after="120"/>
        <w:jc w:val="both"/>
      </w:pPr>
      <w:r>
        <w:rPr>
          <w:rFonts w:ascii="Arial" w:cs="Arial" w:eastAsia="Arial" w:hAnsi="Arial"/>
          <w:sz w:val="22"/>
          <w:szCs w:val="22"/>
        </w:rPr>
        <w:t xml:space="preserve">Probablement la réforme la plus ambitieuse depuis des décennies, initiée par instruction Royale. Le programme d'aide sociale directe bénéficie désormais à 4 millions de ménages.</w:t>
      </w:r>
    </w:p>
    <w:p>
      <w:pPr>
        <w:spacing w:after="100"/>
        <w:jc w:val="both"/>
      </w:pPr>
      <w:r>
        <w:rPr>
          <w:rFonts w:ascii="Arial" w:cs="Arial" w:eastAsia="Arial" w:hAnsi="Arial"/>
          <w:b/>
          <w:bCs/>
          <w:sz w:val="22"/>
          <w:szCs w:val="22"/>
        </w:rPr>
        <w:t xml:space="preserve">Effets positifs : </w:t>
      </w:r>
      <w:r>
        <w:rPr>
          <w:rFonts w:ascii="Arial" w:cs="Arial" w:eastAsia="Arial" w:hAnsi="Arial"/>
          <w:sz w:val="22"/>
          <w:szCs w:val="22"/>
        </w:rPr>
        <w:t xml:space="preserve">impact considérable sur le pouvoir d'achat des couches vulnérables, réduction des inégalités.</w:t>
      </w:r>
    </w:p>
    <w:p>
      <w:pPr>
        <w:spacing w:after="100"/>
        <w:jc w:val="both"/>
      </w:pPr>
      <w:r>
        <w:rPr>
          <w:rFonts w:ascii="Arial" w:cs="Arial" w:eastAsia="Arial" w:hAnsi="Arial"/>
          <w:b/>
          <w:bCs/>
          <w:sz w:val="22"/>
          <w:szCs w:val="22"/>
        </w:rPr>
        <w:t xml:space="preserve">Effets négatifs : </w:t>
      </w:r>
      <w:r>
        <w:rPr>
          <w:rFonts w:ascii="Arial" w:cs="Arial" w:eastAsia="Arial" w:hAnsi="Arial"/>
          <w:sz w:val="22"/>
          <w:szCs w:val="22"/>
        </w:rPr>
        <w:t xml:space="preserve">pression sur les finances publiques — le budget santé et protection sociale a été porté à 32,6 milliards de DH en 2025, contraignant les marges budgétaires.</w:t>
      </w:r>
    </w:p>
    <w:p>
      <w:pPr>
        <w:pStyle w:val="Heading2"/>
        <w:spacing w:before="240" w:after="80"/>
      </w:pPr>
      <w:r>
        <w:rPr>
          <w:rFonts w:ascii="Arial" w:cs="Arial" w:eastAsia="Arial" w:hAnsi="Arial"/>
          <w:b/>
          <w:bCs/>
          <w:color w:val="2C3E50"/>
          <w:sz w:val="24"/>
          <w:szCs w:val="24"/>
        </w:rPr>
        <w:t xml:space="preserve">2. Réforme fiscale de la Loi de Finances 2025</w:t>
      </w:r>
    </w:p>
    <w:p>
      <w:pPr>
        <w:spacing w:after="120"/>
        <w:jc w:val="both"/>
      </w:pPr>
      <w:r>
        <w:rPr>
          <w:rFonts w:ascii="Arial" w:cs="Arial" w:eastAsia="Arial" w:hAnsi="Arial"/>
          <w:sz w:val="22"/>
          <w:szCs w:val="22"/>
        </w:rPr>
        <w:t xml:space="preserve">La LF 2025 a intégré les groupements d'intérêt économique (GIE) dans le champ de l'IS et étendu la TVA aux services numériques fournis par des prestataires étrangers non-résidents.</w:t>
      </w:r>
    </w:p>
    <w:p>
      <w:pPr>
        <w:spacing w:after="100"/>
        <w:jc w:val="both"/>
      </w:pPr>
      <w:r>
        <w:rPr>
          <w:rFonts w:ascii="Arial" w:cs="Arial" w:eastAsia="Arial" w:hAnsi="Arial"/>
          <w:b/>
          <w:bCs/>
          <w:sz w:val="22"/>
          <w:szCs w:val="22"/>
        </w:rPr>
        <w:t xml:space="preserve">Effets positifs : </w:t>
      </w:r>
      <w:r>
        <w:rPr>
          <w:rFonts w:ascii="Arial" w:cs="Arial" w:eastAsia="Arial" w:hAnsi="Arial"/>
          <w:sz w:val="22"/>
          <w:szCs w:val="22"/>
        </w:rPr>
        <w:t xml:space="preserve">élargissement de l'assiette fiscale, plus d'équité, réduction du déficit budgétaire sous 4 % du PIB.</w:t>
      </w:r>
    </w:p>
    <w:p>
      <w:pPr>
        <w:spacing w:after="100"/>
        <w:jc w:val="both"/>
      </w:pPr>
      <w:r>
        <w:rPr>
          <w:rFonts w:ascii="Arial" w:cs="Arial" w:eastAsia="Arial" w:hAnsi="Arial"/>
          <w:b/>
          <w:bCs/>
          <w:sz w:val="22"/>
          <w:szCs w:val="22"/>
        </w:rPr>
        <w:t xml:space="preserve">Effets négatifs : </w:t>
      </w:r>
      <w:r>
        <w:rPr>
          <w:rFonts w:ascii="Arial" w:cs="Arial" w:eastAsia="Arial" w:hAnsi="Arial"/>
          <w:sz w:val="22"/>
          <w:szCs w:val="22"/>
        </w:rPr>
        <w:t xml:space="preserve">complexification du droit fiscal pour les PME et petites structures.</w:t>
      </w:r>
    </w:p>
    <w:p>
      <w:pPr>
        <w:pStyle w:val="Heading2"/>
        <w:spacing w:before="240" w:after="80"/>
      </w:pPr>
      <w:r>
        <w:rPr>
          <w:rFonts w:ascii="Arial" w:cs="Arial" w:eastAsia="Arial" w:hAnsi="Arial"/>
          <w:b/>
          <w:bCs/>
          <w:color w:val="2C3E50"/>
          <w:sz w:val="24"/>
          <w:szCs w:val="24"/>
        </w:rPr>
        <w:t xml:space="preserve">3. Cycle d'assouplissement monétaire (2024–2025)</w:t>
      </w:r>
    </w:p>
    <w:p>
      <w:pPr>
        <w:spacing w:after="120"/>
        <w:jc w:val="both"/>
      </w:pPr>
      <w:r>
        <w:rPr>
          <w:rFonts w:ascii="Arial" w:cs="Arial" w:eastAsia="Arial" w:hAnsi="Arial"/>
          <w:sz w:val="22"/>
          <w:szCs w:val="22"/>
        </w:rPr>
        <w:t xml:space="preserve">La réduction progressive du taux directeur de 3 % à 2,25 % vise à relancer le crédit bancaire et l'investissement privé.</w:t>
      </w:r>
    </w:p>
    <w:p>
      <w:pPr>
        <w:spacing w:after="100"/>
        <w:jc w:val="both"/>
      </w:pPr>
      <w:r>
        <w:rPr>
          <w:rFonts w:ascii="Arial" w:cs="Arial" w:eastAsia="Arial" w:hAnsi="Arial"/>
          <w:b/>
          <w:bCs/>
          <w:sz w:val="22"/>
          <w:szCs w:val="22"/>
        </w:rPr>
        <w:t xml:space="preserve">Effets positifs : </w:t>
      </w:r>
      <w:r>
        <w:rPr>
          <w:rFonts w:ascii="Arial" w:cs="Arial" w:eastAsia="Arial" w:hAnsi="Arial"/>
          <w:sz w:val="22"/>
          <w:szCs w:val="22"/>
        </w:rPr>
        <w:t xml:space="preserve">soutien aux entreprises et ménages emprunteurs, relance du crédit.</w:t>
      </w:r>
    </w:p>
    <w:p>
      <w:pPr>
        <w:spacing w:after="100"/>
        <w:jc w:val="both"/>
      </w:pPr>
      <w:r>
        <w:rPr>
          <w:rFonts w:ascii="Arial" w:cs="Arial" w:eastAsia="Arial" w:hAnsi="Arial"/>
          <w:b/>
          <w:bCs/>
          <w:sz w:val="22"/>
          <w:szCs w:val="22"/>
        </w:rPr>
        <w:t xml:space="preserve">Effets négatifs : </w:t>
      </w:r>
      <w:r>
        <w:rPr>
          <w:rFonts w:ascii="Arial" w:cs="Arial" w:eastAsia="Arial" w:hAnsi="Arial"/>
          <w:sz w:val="22"/>
          <w:szCs w:val="22"/>
        </w:rPr>
        <w:t xml:space="preserve">risque de rebond inflationniste si la demande s'emballe ou si les prix alimentaires mondiaux repartent à la hausse.</w:t>
      </w:r>
    </w:p>
    <w:p>
      <w:pPr>
        <w:pStyle w:val="Heading2"/>
        <w:spacing w:before="240" w:after="80"/>
      </w:pPr>
      <w:r>
        <w:rPr>
          <w:rFonts w:ascii="Arial" w:cs="Arial" w:eastAsia="Arial" w:hAnsi="Arial"/>
          <w:b/>
          <w:bCs/>
          <w:color w:val="2C3E50"/>
          <w:sz w:val="24"/>
          <w:szCs w:val="24"/>
        </w:rPr>
        <w:t xml:space="preserve">4. Accord FMI — Facilité pour la Résilience et la Durabilité (FRD)</w:t>
      </w:r>
    </w:p>
    <w:p>
      <w:pPr>
        <w:spacing w:after="120"/>
        <w:jc w:val="both"/>
      </w:pPr>
      <w:r>
        <w:rPr>
          <w:rFonts w:ascii="Arial" w:cs="Arial" w:eastAsia="Arial" w:hAnsi="Arial"/>
          <w:sz w:val="22"/>
          <w:szCs w:val="22"/>
        </w:rPr>
        <w:t xml:space="preserve">L'achèvement de la troisième revue ouvre la voie au décaissement de 375 millions de DTS (environ 496 millions de dollars), portant le total à 937,5 millions de DTS.</w:t>
      </w:r>
    </w:p>
    <w:p>
      <w:pPr>
        <w:spacing w:after="100"/>
        <w:jc w:val="both"/>
      </w:pPr>
      <w:r>
        <w:rPr>
          <w:rFonts w:ascii="Arial" w:cs="Arial" w:eastAsia="Arial" w:hAnsi="Arial"/>
          <w:b/>
          <w:bCs/>
          <w:sz w:val="22"/>
          <w:szCs w:val="22"/>
        </w:rPr>
        <w:t xml:space="preserve">Effets positifs : </w:t>
      </w:r>
      <w:r>
        <w:rPr>
          <w:rFonts w:ascii="Arial" w:cs="Arial" w:eastAsia="Arial" w:hAnsi="Arial"/>
          <w:sz w:val="22"/>
          <w:szCs w:val="22"/>
        </w:rPr>
        <w:t xml:space="preserve">signal fort aux marchés sur la solidité institutionnelle, appui aux transitions énergétique et hydrique.</w:t>
      </w:r>
    </w:p>
    <w:p>
      <w:pPr>
        <w:spacing w:after="100"/>
        <w:jc w:val="both"/>
      </w:pPr>
      <w:r>
        <w:rPr>
          <w:rFonts w:ascii="Arial" w:cs="Arial" w:eastAsia="Arial" w:hAnsi="Arial"/>
          <w:b/>
          <w:bCs/>
          <w:sz w:val="22"/>
          <w:szCs w:val="22"/>
        </w:rPr>
        <w:t xml:space="preserve">Effets négatifs : </w:t>
      </w:r>
      <w:r>
        <w:rPr>
          <w:rFonts w:ascii="Arial" w:cs="Arial" w:eastAsia="Arial" w:hAnsi="Arial"/>
          <w:sz w:val="22"/>
          <w:szCs w:val="22"/>
        </w:rPr>
        <w:t xml:space="preserve">contraintes sur la souveraineté politique — la taxe carbone a été reportée faute de consensus.</w:t>
      </w:r>
    </w:p>
    <w:p>
      <w:pPr>
        <w:pStyle w:val="Heading2"/>
        <w:spacing w:before="240" w:after="80"/>
      </w:pPr>
      <w:r>
        <w:rPr>
          <w:rFonts w:ascii="Arial" w:cs="Arial" w:eastAsia="Arial" w:hAnsi="Arial"/>
          <w:b/>
          <w:bCs/>
          <w:color w:val="2C3E50"/>
          <w:sz w:val="24"/>
          <w:szCs w:val="24"/>
        </w:rPr>
        <w:t xml:space="preserve">5. Investissements liés à la Coupe du Monde 2030</w:t>
      </w:r>
    </w:p>
    <w:p>
      <w:pPr>
        <w:spacing w:after="120"/>
        <w:jc w:val="both"/>
      </w:pPr>
      <w:r>
        <w:rPr>
          <w:rFonts w:ascii="Arial" w:cs="Arial" w:eastAsia="Arial" w:hAnsi="Arial"/>
          <w:sz w:val="22"/>
          <w:szCs w:val="22"/>
        </w:rPr>
        <w:t xml:space="preserve">Le Maroc co-organise la Coupe du Monde 2030 avec l'Espagne et le Portugal, mobilisant des milliards de dirhams pour infrastructures sportives, hôtelières et de transport.</w:t>
      </w:r>
    </w:p>
    <w:p>
      <w:pPr>
        <w:spacing w:after="100"/>
        <w:jc w:val="both"/>
      </w:pPr>
      <w:r>
        <w:rPr>
          <w:rFonts w:ascii="Arial" w:cs="Arial" w:eastAsia="Arial" w:hAnsi="Arial"/>
          <w:b/>
          <w:bCs/>
          <w:sz w:val="22"/>
          <w:szCs w:val="22"/>
        </w:rPr>
        <w:t xml:space="preserve">Effets positifs : </w:t>
      </w:r>
      <w:r>
        <w:rPr>
          <w:rFonts w:ascii="Arial" w:cs="Arial" w:eastAsia="Arial" w:hAnsi="Arial"/>
          <w:sz w:val="22"/>
          <w:szCs w:val="22"/>
        </w:rPr>
        <w:t xml:space="preserve">accélération de la modernisation des infrastructures, rayonnement international.</w:t>
      </w:r>
    </w:p>
    <w:p>
      <w:pPr>
        <w:spacing w:after="100"/>
        <w:jc w:val="both"/>
      </w:pPr>
      <w:r>
        <w:rPr>
          <w:rFonts w:ascii="Arial" w:cs="Arial" w:eastAsia="Arial" w:hAnsi="Arial"/>
          <w:b/>
          <w:bCs/>
          <w:sz w:val="22"/>
          <w:szCs w:val="22"/>
        </w:rPr>
        <w:t xml:space="preserve">Effets négatifs : </w:t>
      </w:r>
      <w:r>
        <w:rPr>
          <w:rFonts w:ascii="Arial" w:cs="Arial" w:eastAsia="Arial" w:hAnsi="Arial"/>
          <w:sz w:val="22"/>
          <w:szCs w:val="22"/>
        </w:rPr>
        <w:t xml:space="preserve">risque de surinvestissement événementiel et pression budgétaire à court terme.</w:t>
      </w:r>
    </w:p>
    <w:p>
      <w:pPr>
        <w:pStyle w:val="Heading1"/>
        <w:pBdr>
          <w:bottom w:val="single" w:color="C0392B" w:sz="6" w:space="1"/>
        </w:pBdr>
        <w:spacing w:before="360" w:after="120"/>
      </w:pPr>
      <w:r>
        <w:rPr>
          <w:rFonts w:ascii="Arial" w:cs="Arial" w:eastAsia="Arial" w:hAnsi="Arial"/>
          <w:b/>
          <w:bCs/>
          <w:color w:val="C0392B"/>
          <w:sz w:val="28"/>
          <w:szCs w:val="28"/>
        </w:rPr>
        <w:t xml:space="preserve">VI. Synthèse : Forces et Défis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13"/>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Forces</w:t>
            </w:r>
          </w:p>
        </w:tc>
        <w:tc>
          <w:tcPr>
            <w:tcW w:type="dxa" w:w="3413"/>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Défis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Stabilité</w:t>
            </w:r>
          </w:p>
        </w:tc>
        <w:tc>
          <w:tcPr>
            <w:tcW w:type="dxa" w:w="3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Déficit maîtrisé, inflation basse</w:t>
            </w:r>
          </w:p>
        </w:tc>
        <w:tc>
          <w:tcPr>
            <w:tcW w:type="dxa" w:w="3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Dépendance aux recettes fiscales concentrées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Croissance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Résilience, diversification sectorielle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Vulnérabilité agricole aux aléas climatiques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Social</w:t>
            </w:r>
          </w:p>
        </w:tc>
        <w:tc>
          <w:tcPr>
            <w:tcW w:type="dxa" w:w="3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Réformes ambitieuses de protection sociale</w:t>
            </w:r>
          </w:p>
        </w:tc>
        <w:tc>
          <w:tcPr>
            <w:tcW w:type="dxa" w:w="3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Chômage structurel élevé (surtout jeunes)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Investissement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 dynamiques, Charte de l'investissement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Secteur privé formel encore insuffisant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Monétaire</w:t>
            </w:r>
          </w:p>
        </w:tc>
        <w:tc>
          <w:tcPr>
            <w:tcW w:type="dxa" w:w="3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BAM crédible, assouplissement bien géré</w:t>
            </w:r>
          </w:p>
        </w:tc>
        <w:tc>
          <w:tcPr>
            <w:tcW w:type="dxa" w:w="3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Transition vers plus de flexibilité du dirham</w:t>
            </w:r>
          </w:p>
        </w:tc>
      </w:tr>
    </w:tbl>
    <w:p>
      <w:pPr>
        <w:spacing w:after="240"/>
      </w:pPr>
    </w:p>
    <w:p>
      <w:pPr>
        <w:spacing w:after="120"/>
        <w:jc w:val="both"/>
      </w:pPr>
      <w:r>
        <w:rPr>
          <w:rFonts w:ascii="Arial" w:cs="Arial" w:eastAsia="Arial" w:hAnsi="Arial"/>
          <w:i/>
          <w:iCs/>
          <w:sz w:val="22"/>
          <w:szCs w:val="22"/>
        </w:rPr>
        <w:t xml:space="preserve">La politique financière du Maroc présente un tableau globalement solide, reconnu par le FMI et l'OCDE, mais elle doit encore résoudre l'équation difficile entre consolidation budgétaire, création d'emplois de qualité et financement d'un État social encore en construction. La Coupe du Monde 2030 et les réformes climatiques seront les deux grands tests des années à venir.</w:t>
      </w:r>
    </w:p>
    <w:p>
      <w:pPr>
        <w:pStyle w:val="Heading1"/>
        <w:pBdr>
          <w:bottom w:val="single" w:color="C0392B" w:sz="6" w:space="1"/>
        </w:pBdr>
        <w:spacing w:before="360" w:after="120"/>
      </w:pPr>
      <w:r>
        <w:rPr>
          <w:rFonts w:ascii="Arial" w:cs="Arial" w:eastAsia="Arial" w:hAnsi="Arial"/>
          <w:b/>
          <w:bCs/>
          <w:color w:val="C0392B"/>
          <w:sz w:val="28"/>
          <w:szCs w:val="28"/>
        </w:rPr>
        <w:t xml:space="preserve">Sources</w:t>
      </w:r>
    </w:p>
    <w:p>
      <w:pPr>
        <w:spacing w:after="100"/>
        <w:jc w:val="both"/>
      </w:pPr>
      <w:r>
        <w:rPr>
          <w:rFonts w:ascii="Arial" w:cs="Arial" w:eastAsia="Arial" w:hAnsi="Arial"/>
          <w:b/>
          <w:bCs/>
          <w:sz w:val="22"/>
          <w:szCs w:val="22"/>
        </w:rPr>
        <w:t xml:space="preserve">1. FMI — </w:t>
      </w:r>
      <w:r>
        <w:rPr>
          <w:rFonts w:ascii="Arial" w:cs="Arial" w:eastAsia="Arial" w:hAnsi="Arial"/>
          <w:sz w:val="22"/>
          <w:szCs w:val="22"/>
        </w:rPr>
        <w:t xml:space="preserve">Conclusions des consultations 2025 au titre de l'Article IV et 3e revue FRD (avril 2025). imf.org</w:t>
      </w:r>
    </w:p>
    <w:p>
      <w:pPr>
        <w:spacing w:after="100"/>
        <w:jc w:val="both"/>
      </w:pPr>
      <w:r>
        <w:rPr>
          <w:rFonts w:ascii="Arial" w:cs="Arial" w:eastAsia="Arial" w:hAnsi="Arial"/>
          <w:b/>
          <w:bCs/>
          <w:sz w:val="22"/>
          <w:szCs w:val="22"/>
        </w:rPr>
        <w:t xml:space="preserve">2. OCDE — </w:t>
      </w:r>
      <w:r>
        <w:rPr>
          <w:rFonts w:ascii="Arial" w:cs="Arial" w:eastAsia="Arial" w:hAnsi="Arial"/>
          <w:sz w:val="22"/>
          <w:szCs w:val="22"/>
        </w:rPr>
        <w:t xml:space="preserve">Perspectives économiques 2025, Fiche pays Maroc (juin 2025). oecd.org</w:t>
      </w:r>
    </w:p>
    <w:p>
      <w:pPr>
        <w:spacing w:after="100"/>
        <w:jc w:val="both"/>
      </w:pPr>
      <w:r>
        <w:rPr>
          <w:rFonts w:ascii="Arial" w:cs="Arial" w:eastAsia="Arial" w:hAnsi="Arial"/>
          <w:b/>
          <w:bCs/>
          <w:sz w:val="22"/>
          <w:szCs w:val="22"/>
        </w:rPr>
        <w:t xml:space="preserve">3. Ministère de l'Économie et des Finances — </w:t>
      </w:r>
      <w:r>
        <w:rPr>
          <w:rFonts w:ascii="Arial" w:cs="Arial" w:eastAsia="Arial" w:hAnsi="Arial"/>
          <w:sz w:val="22"/>
          <w:szCs w:val="22"/>
        </w:rPr>
        <w:t xml:space="preserve">Rapport économique et financier PLF 2025. finances.gov.ma</w:t>
      </w:r>
    </w:p>
    <w:p>
      <w:pPr>
        <w:spacing w:after="100"/>
        <w:jc w:val="both"/>
      </w:pPr>
      <w:r>
        <w:rPr>
          <w:rFonts w:ascii="Arial" w:cs="Arial" w:eastAsia="Arial" w:hAnsi="Arial"/>
          <w:b/>
          <w:bCs/>
          <w:sz w:val="22"/>
          <w:szCs w:val="22"/>
        </w:rPr>
        <w:t xml:space="preserve">4. FNH.ma — </w:t>
      </w:r>
      <w:r>
        <w:rPr>
          <w:rFonts w:ascii="Arial" w:cs="Arial" w:eastAsia="Arial" w:hAnsi="Arial"/>
          <w:sz w:val="22"/>
          <w:szCs w:val="22"/>
        </w:rPr>
        <w:t xml:space="preserve">Analyse du PLF 2025 : axes économiques et sociaux (octobre 2024).</w:t>
      </w:r>
    </w:p>
    <w:p>
      <w:pPr>
        <w:spacing w:after="100"/>
        <w:jc w:val="both"/>
      </w:pPr>
      <w:r>
        <w:rPr>
          <w:rFonts w:ascii="Arial" w:cs="Arial" w:eastAsia="Arial" w:hAnsi="Arial"/>
          <w:b/>
          <w:bCs/>
          <w:sz w:val="22"/>
          <w:szCs w:val="22"/>
        </w:rPr>
        <w:t xml:space="preserve">5. Deloitte Avocats — </w:t>
      </w:r>
      <w:r>
        <w:rPr>
          <w:rFonts w:ascii="Arial" w:cs="Arial" w:eastAsia="Arial" w:hAnsi="Arial"/>
          <w:sz w:val="22"/>
          <w:szCs w:val="22"/>
        </w:rPr>
        <w:t xml:space="preserve">Loi de Finances 2025 Maroc : principales mesures fiscales (mars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Sources : FMI, OCDE, Ministère des Finances, Bank Al-Maghrib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spacing w:after="80"/>
    </w:pPr>
    <w:r>
      <w:rPr>
        <w:rFonts w:ascii="Arial" w:cs="Arial" w:eastAsia="Arial" w:hAnsi="Arial"/>
        <w:color w:val="888888"/>
        <w:sz w:val="18"/>
        <w:szCs w:val="18"/>
      </w:rPr>
      <w:t xml:space="preserve">🇲🇦  La Politique Financière du Maroc — Analyse Complète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C0392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2026-02-19T14:42:21.565Z</dcterms:created>
  <dcterms:modified xsi:type="dcterms:W3CDTF">2026-02-19T14:42:21.565Z</dcterms:modified>
</cp:coreProperties>
</file>

<file path=docProps/custom.xml><?xml version="1.0" encoding="utf-8"?>
<Properties xmlns="http://schemas.openxmlformats.org/officeDocument/2006/custom-properties" xmlns:vt="http://schemas.openxmlformats.org/officeDocument/2006/docPropsVTypes"/>
</file>