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325"/>
      </w:tblGrid>
      <w:tr>
        <w:tc>
          <w:tcPr>
            <w:tcW w:type="dxa" w:w="10325"/>
            <w:shd w:fill="1B2A1B"/>
            <w:tcMar>
              <w:top w:w="140" w:type="dxa"/>
              <w:bottom w:w="140" w:type="dxa"/>
              <w:left w:w="200" w:type="dxa"/>
              <w:right w:w="200" w:type="dxa"/>
            </w:tcMar>
          </w:tcPr>
          <w:p>
            <w:pPr>
              <w:jc w:val="center"/>
            </w:pPr>
            <w:r>
              <w:rPr>
                <w:b/>
                <w:color w:val="FFFFFF"/>
                <w:sz w:val="26"/>
                <w:rFonts w:ascii="Arial" w:hAnsi="Arial"/>
              </w:rPr>
              <w:t>EZZINE TUNISIAN OLIVE OIL PLATFORM (ZinToop SUARL)</w:t>
            </w:r>
          </w:p>
          <w:p>
            <w:pPr>
              <w:jc w:val="center"/>
            </w:pPr>
            <w:r>
              <w:rPr>
                <w:color w:val="C8A356"/>
                <w:sz w:val="19"/>
                <w:rFonts w:ascii="Arial" w:hAnsi="Arial"/>
              </w:rPr>
              <w:t>Unité des Services Digitaux &amp; AgriTech • Kairouan, Tunisie</w:t>
            </w:r>
          </w:p>
          <w:p>
            <w:pPr>
              <w:jc w:val="center"/>
            </w:pPr>
            <w:r>
              <w:rPr>
                <w:color w:val="DCDCDC"/>
                <w:sz w:val="17"/>
                <w:rFonts w:ascii="Arial" w:hAnsi="Arial"/>
              </w:rPr>
              <w:t>Matricule Fiscal: 1969552S  •  Siège: Dar Amen, Jardins Khadhraoui, Kairouan  •  Contact: +216 25 777 926</w:t>
            </w:r>
          </w:p>
        </w:tc>
      </w:tr>
    </w:tbl>
    <w:p/>
    <w:p>
      <w:pPr>
        <w:jc w:val="center"/>
      </w:pPr>
      <w:r>
        <w:rPr>
          <w:b/>
          <w:color w:val="1B2A1B"/>
          <w:sz w:val="30"/>
          <w:rFonts w:ascii="Arial" w:hAnsi="Arial"/>
        </w:rPr>
        <w:t>Contrat de Prestation de Récolte Mécanisée des Olives</w:t>
      </w:r>
    </w:p>
    <w:p>
      <w:pPr>
        <w:jc w:val="center"/>
      </w:pPr>
      <w:r>
        <w:rPr>
          <w:b/>
          <w:color w:val="8C6B12"/>
          <w:sz w:val="20"/>
          <w:rFonts w:ascii="Arial" w:hAnsi="Arial"/>
        </w:rPr>
        <w:t>Campagne: 202... / 202...  |  N° Contrat: REC-202.../.....  |  Date: ...... / ...... / 202...</w:t>
      </w:r>
    </w:p>
    <w:tbl>
      <w:tblPr>
        <w:tblW w:type="auto" w:w="0"/>
        <w:tblLayout w:type="fixed"/>
        <w:tblLook w:firstColumn="1" w:firstRow="1" w:lastColumn="0" w:lastRow="0" w:noHBand="0" w:noVBand="1" w:val="04A0"/>
      </w:tblPr>
      <w:tblGrid>
        <w:gridCol w:w="5162"/>
        <w:gridCol w:w="5162"/>
      </w:tblGrid>
      <w:tr>
        <w:tc>
          <w:tcPr>
            <w:tcW w:type="dxa" w:w="5162"/>
            <w:shd w:fill="F8FAF8"/>
            <w:tcMar>
              <w:top w:w="100" w:type="dxa"/>
              <w:bottom w:w="100" w:type="dxa"/>
              <w:left w:w="120" w:type="dxa"/>
              <w:right w:w="120" w:type="dxa"/>
            </w:tcMar>
            <w:tcBorders>
              <w:top w:val="single" w:sz="8" w:space="0" w:color="C8A356"/>
              <w:left w:val="single" w:sz="8" w:space="0" w:color="C8A356"/>
              <w:bottom w:val="single" w:sz="8" w:space="0" w:color="C8A356"/>
              <w:right w:val="single" w:sz="8" w:space="0" w:color="C8A356"/>
            </w:tcBorders>
          </w:tcPr>
          <w:p>
            <w:r>
              <w:rPr>
                <w:b/>
                <w:color w:val="1B2A1B"/>
                <w:sz w:val="20"/>
                <w:rFonts w:ascii="Arial" w:hAnsi="Arial"/>
              </w:rPr>
              <w:t>Première Partie (Prestataire ZinToop):</w:t>
            </w:r>
          </w:p>
          <w:p>
            <w:r>
              <w:rPr>
                <w:sz w:val="18"/>
                <w:rFonts w:ascii="Arial" w:hAnsi="Arial"/>
              </w:rPr>
              <w:t>ZinToop SUARL dont les coordonnées légales complètes figurent à l'en-tête ci-dessus, valablement représentée par son Gérant, M. Hamdi Ezzine.</w:t>
            </w:r>
          </w:p>
        </w:tc>
        <w:tc>
          <w:tcPr>
            <w:tcW w:type="dxa" w:w="5162"/>
            <w:shd w:fill="F8FAF8"/>
            <w:tcMar>
              <w:top w:w="100" w:type="dxa"/>
              <w:bottom w:w="100" w:type="dxa"/>
              <w:left w:w="120" w:type="dxa"/>
              <w:right w:w="120" w:type="dxa"/>
            </w:tcMar>
            <w:tcBorders>
              <w:top w:val="single" w:sz="8" w:space="0" w:color="C8A356"/>
              <w:left w:val="single" w:sz="8" w:space="0" w:color="C8A356"/>
              <w:bottom w:val="single" w:sz="8" w:space="0" w:color="C8A356"/>
              <w:right w:val="single" w:sz="8" w:space="0" w:color="C8A356"/>
            </w:tcBorders>
          </w:tcPr>
          <w:p>
            <w:r>
              <w:rPr>
                <w:b/>
                <w:color w:val="1B2A1B"/>
                <w:sz w:val="20"/>
                <w:rFonts w:ascii="Arial" w:hAnsi="Arial"/>
              </w:rPr>
              <w:t>Deuxième Partie (L'Agriculteur / Client):</w:t>
            </w:r>
          </w:p>
          <w:p>
            <w:r>
              <w:rPr>
                <w:sz w:val="18"/>
                <w:rFonts w:ascii="Arial" w:hAnsi="Arial"/>
              </w:rPr>
              <w:t>M./Mme: [ ................................................ ]</w:t>
              <w:br/>
              <w:t>CIN / Identifiant: [ ........................ ] • Tél: [ ........................ ]</w:t>
              <w:br/>
              <w:t>Adresse: [ ................................................ ]</w:t>
            </w:r>
          </w:p>
        </w:tc>
      </w:tr>
    </w:tbl>
    <w:p/>
    <w:tbl>
      <w:tblPr>
        <w:tblW w:type="auto" w:w="0"/>
        <w:tblLook w:firstColumn="1" w:firstRow="1" w:lastColumn="0" w:lastRow="0" w:noHBand="0" w:noVBand="1" w:val="04A0"/>
      </w:tblPr>
      <w:tblGrid>
        <w:gridCol w:w="10325"/>
      </w:tblGrid>
      <w:tr>
        <w:tc>
          <w:tcPr>
            <w:tcW w:type="dxa" w:w="10325"/>
            <w:shd w:fill="EAF4E8"/>
            <w:tcMar>
              <w:top w:w="70" w:type="dxa"/>
              <w:bottom w:w="70" w:type="dxa"/>
              <w:left w:w="120" w:type="dxa"/>
              <w:right w:w="120" w:type="dxa"/>
            </w:tcMar>
            <w:tcBorders>
              <w:top w:val="single" w:sz="4" w:space="0" w:color="A3CCA0"/>
              <w:left w:val="single" w:sz="4" w:space="0" w:color="A3CCA0"/>
              <w:bottom w:val="single" w:sz="4" w:space="0" w:color="A3CCA0"/>
              <w:right w:val="single" w:sz="4" w:space="0" w:color="A3CCA0"/>
            </w:tcBorders>
          </w:tcPr>
          <w:p>
            <w:r>
              <w:rPr>
                <w:b/>
                <w:color w:val="166534"/>
                <w:sz w:val="18"/>
                <w:rFonts w:ascii="Arial" w:hAnsi="Arial"/>
              </w:rPr>
              <w:t>🌿 Données du Verger:   Lieu: [ ................................ ]  •  Variété: [ ................ ]  •  Nb d'arbres: [ ............ ] pieds  •  Quantité estimée: [ ............ ] Kg</w:t>
            </w:r>
          </w:p>
        </w:tc>
      </w:tr>
    </w:tbl>
    <w:p/>
    <w:p>
      <w:r>
        <w:rPr>
          <w:b/>
          <w:color w:val="1B2A1B"/>
          <w:sz w:val="20"/>
          <w:rFonts w:ascii="Arial" w:hAnsi="Arial"/>
        </w:rPr>
        <w:t>🔸 Art. 1 : Charte Qualité &amp; Protection du Verger (Engagement Technique)</w:t>
      </w:r>
    </w:p>
    <w:p>
      <w:r>
        <w:rPr>
          <w:color w:val="282828"/>
          <w:sz w:val="18"/>
          <w:rFonts w:ascii="Arial" w:hAnsi="Arial"/>
        </w:rPr>
        <w:t>Récolte exécutée exclusivement par peignes vibreurs électriques modernes, avec interdiction formelle du gaulage au bâton. Engagement de récolte intégrale de l'arbre sans abandon de fruits, avec ramassage immédiat dans des caisses ajourées en plastique garantissant la fraîcheur.</w:t>
      </w:r>
    </w:p>
    <w:p/>
    <w:p>
      <w:r>
        <w:rPr>
          <w:b/>
          <w:color w:val="1B2A1B"/>
          <w:sz w:val="20"/>
          <w:rFonts w:ascii="Arial" w:hAnsi="Arial"/>
        </w:rPr>
        <w:t>🔸 Art. 2 : Tarification au Kilo &amp; Opération de Pesée sur l'Exploitation</w:t>
      </w:r>
    </w:p>
    <w:p>
      <w:r>
        <w:rPr>
          <w:color w:val="282828"/>
          <w:sz w:val="18"/>
          <w:rFonts w:ascii="Arial" w:hAnsi="Arial"/>
        </w:rPr>
        <w:t>Tarif net convenu: [ ........................ ] DT/Millimes HT par Kg récolté. La pesée des olives est effectuée au moyen de la bascule de ZinToop directement sur l'exploitation et en présence de l'agriculteur (ou son représentant) avec délivrance d'un bon de pesée officiel, l'agriculteur conservant la faculté de vérification lors du déchargement au moulin.</w:t>
      </w:r>
    </w:p>
    <w:p/>
    <w:p>
      <w:r>
        <w:rPr>
          <w:b/>
          <w:color w:val="1B2A1B"/>
          <w:sz w:val="20"/>
          <w:rFonts w:ascii="Arial" w:hAnsi="Arial"/>
        </w:rPr>
        <w:t>🔸 Art. 3 : Acompte de Réservation &amp; Date de Début des Travaux</w:t>
      </w:r>
    </w:p>
    <w:p>
      <w:r>
        <w:rPr>
          <w:color w:val="282828"/>
          <w:sz w:val="18"/>
          <w:rFonts w:ascii="Arial" w:hAnsi="Arial"/>
        </w:rPr>
        <w:t>Versement à la signature d'un acompte de [ .......... % ] (soit [ ........................ DT ]) validant le planning suite à la visite technique du verger. Date convenue pour le début des travaux: [ ...... / ...... / 202... ].</w:t>
      </w:r>
    </w:p>
    <w:p/>
    <w:p>
      <w:r>
        <w:rPr>
          <w:b/>
          <w:color w:val="1B2A1B"/>
          <w:sz w:val="20"/>
          <w:rFonts w:ascii="Arial" w:hAnsi="Arial"/>
        </w:rPr>
        <w:t>🔸 Art. 4 : Modalités de Paiement &amp; Gestion Stricte des Caisses</w:t>
      </w:r>
    </w:p>
    <w:p>
      <w:r>
        <w:rPr>
          <w:color w:val="282828"/>
          <w:sz w:val="18"/>
          <w:rFonts w:ascii="Arial" w:hAnsi="Arial"/>
        </w:rPr>
        <w:t>• Paiement: Règlement intégral le jour de clôture pour les chantiers courts (&lt;= 1 semaine) ; ou hebdomadaire pour les grands vergers (&gt; 1 semaine) au prorata des pesées avec régularisation de l'acompte.</w:t>
        <w:br/>
        <w:t>• Caisses: Propriété exclusive de ZinToop déchargées immédiatement au moulin. Interdiction formelle de conserver les caisses sur la propriété après le travail journalier. Dédommagement obligatoire en cas de perte/casse.</w:t>
      </w:r>
    </w:p>
    <w:p/>
    <w:p>
      <w:r>
        <w:rPr>
          <w:b/>
          <w:color w:val="8C6B12"/>
          <w:sz w:val="19"/>
          <w:rFonts w:ascii="Arial" w:hAnsi="Arial"/>
        </w:rPr>
        <w:t>📝 Remarques ou conventions particulières complémentaires (2 lignes libres):</w:t>
      </w:r>
    </w:p>
    <w:p>
      <w:r>
        <w:rPr>
          <w:color w:val="A0A0A0"/>
        </w:rPr>
        <w:t>1) ............................................................................................................................................................................</w:t>
      </w:r>
    </w:p>
    <w:p>
      <w:r>
        <w:rPr>
          <w:color w:val="A0A0A0"/>
        </w:rPr>
        <w:t>2) ............................................................................................................................................................................</w:t>
      </w:r>
    </w:p>
    <w:p/>
    <w:tbl>
      <w:tblPr>
        <w:tblW w:type="auto" w:w="0"/>
        <w:tblLook w:firstColumn="1" w:firstRow="1" w:lastColumn="0" w:lastRow="0" w:noHBand="0" w:noVBand="1" w:val="04A0"/>
      </w:tblPr>
      <w:tblGrid>
        <w:gridCol w:w="5162"/>
        <w:gridCol w:w="5162"/>
      </w:tblGrid>
      <w:tr>
        <w:tc>
          <w:tcPr>
            <w:tcW w:type="dxa" w:w="5162"/>
            <w:shd w:fill="FFFFFF"/>
            <w:tcMar>
              <w:top w:w="80" w:type="dxa"/>
              <w:bottom w:w="100" w:type="dxa"/>
              <w:left w:w="100" w:type="dxa"/>
              <w:right w:w="100" w:type="dxa"/>
            </w:tcMar>
            <w:tcBorders>
              <w:top w:val="single" w:sz="6" w:space="0" w:color="C8A356"/>
              <w:left w:val="single" w:sz="6" w:space="0" w:color="C8A356"/>
              <w:bottom w:val="single" w:sz="6" w:space="0" w:color="C8A356"/>
              <w:right w:val="single" w:sz="6" w:space="0" w:color="C8A356"/>
            </w:tcBorders>
          </w:tcPr>
          <w:p>
            <w:r>
              <w:rPr>
                <w:b/>
                <w:sz w:val="17"/>
              </w:rPr>
              <w:t>Pour la Première Partie (ZinToop SUARL)</w:t>
              <w:br/>
              <w:t>Prestataire de services</w:t>
              <w:br/>
              <w:br/>
              <w:t>Représentant Légal: Hamdi Ezzine</w:t>
              <w:br/>
              <w:t>Qualité: Gérant Mandataire</w:t>
              <w:br/>
              <w:br/>
              <w:t>Signature &amp; Cachet: .......................................</w:t>
            </w:r>
          </w:p>
        </w:tc>
        <w:tc>
          <w:tcPr>
            <w:tcW w:type="dxa" w:w="5162"/>
            <w:shd w:fill="FFFFFF"/>
            <w:tcMar>
              <w:top w:w="80" w:type="dxa"/>
              <w:bottom w:w="100" w:type="dxa"/>
              <w:left w:w="100" w:type="dxa"/>
              <w:right w:w="100" w:type="dxa"/>
            </w:tcMar>
            <w:tcBorders>
              <w:top w:val="single" w:sz="6" w:space="0" w:color="C8A356"/>
              <w:left w:val="single" w:sz="6" w:space="0" w:color="C8A356"/>
              <w:bottom w:val="single" w:sz="6" w:space="0" w:color="C8A356"/>
              <w:right w:val="single" w:sz="6" w:space="0" w:color="C8A356"/>
            </w:tcBorders>
          </w:tcPr>
          <w:p>
            <w:r>
              <w:rPr>
                <w:b/>
                <w:sz w:val="17"/>
              </w:rPr>
              <w:t>Pour la Deuxième Partie (Le Client)</w:t>
              <w:br/>
              <w:t>Exploitant Agricole</w:t>
              <w:br/>
              <w:br/>
              <w:t>Nom &amp; Prénom: [ ................................................ ]</w:t>
              <w:br/>
              <w:t>Qualité: Propriétaire / Exploitant</w:t>
              <w:br/>
              <w:br/>
              <w:t>Émargement Client: .......................................</w:t>
            </w:r>
          </w:p>
        </w:tc>
      </w:tr>
    </w:tbl>
    <w:p/>
    <w:p>
      <w:pPr>
        <w:jc w:val="center"/>
      </w:pPr>
      <w:r>
        <w:rPr>
          <w:color w:val="8C8C8C"/>
          <w:sz w:val="16"/>
        </w:rPr>
        <w:t>EZZINE TUNISIAN OLIVE OIL PLATFORM (ZinToop SUARL) • MF: 1969552S • Document contractuel modifiable et imprimable</w:t>
      </w:r>
    </w:p>
    <w:sectPr w:rsidR="00FC693F" w:rsidRPr="0006063C" w:rsidSect="00034616">
      <w:pgSz w:w="11909" w:h="16834"/>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