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sz w:val="48"/>
          <w:szCs w:val="48"/>
        </w:rPr>
      </w:pPr>
    </w:p>
    <w:p>
      <w:pPr>
        <w:jc w:val="center"/>
        <w:rPr>
          <w:rFonts w:ascii="新宋体" w:hAnsi="新宋体" w:eastAsia="新宋体"/>
          <w:sz w:val="96"/>
          <w:szCs w:val="96"/>
        </w:rPr>
      </w:pPr>
      <w:r>
        <w:rPr>
          <w:rFonts w:hint="eastAsia" w:ascii="新宋体" w:hAnsi="新宋体" w:eastAsia="新宋体"/>
          <w:sz w:val="96"/>
          <w:szCs w:val="96"/>
        </w:rPr>
        <w:t>西南大学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 验 报 告</w:t>
      </w: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  <w:r>
        <w:rPr>
          <w:rFonts w:hint="eastAsia" w:ascii="仿宋_GB2312" w:eastAsia="仿宋_GB2312"/>
          <w:sz w:val="44"/>
          <w:szCs w:val="44"/>
        </w:rPr>
        <w:t>《计算机组成与汇编语言程序设计》课程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2020-2021学年度第2学期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19 SE4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ind w:firstLine="1842" w:firstLineChars="614"/>
        <w:jc w:val="right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    名</w:t>
      </w:r>
      <w:r>
        <w:rPr>
          <w:rFonts w:hint="eastAsia"/>
          <w:sz w:val="30"/>
          <w:szCs w:val="30"/>
          <w:u w:val="single"/>
        </w:rPr>
        <w:t xml:space="preserve">        吴嘉诚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</w:t>
      </w:r>
      <w:r>
        <w:rPr>
          <w:rFonts w:hint="eastAsia"/>
          <w:sz w:val="30"/>
          <w:szCs w:val="30"/>
          <w:u w:val="single"/>
        </w:rPr>
        <w:t xml:space="preserve">   222019321062111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25教 802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jc w:val="both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2021年4月</w:t>
      </w:r>
    </w:p>
    <w:p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hint="eastAsia" w:ascii="宋体"/>
          <w:b/>
          <w:sz w:val="28"/>
          <w:szCs w:val="28"/>
        </w:rPr>
        <w:t>课程实验报告</w:t>
      </w:r>
    </w:p>
    <w:p>
      <w:pPr>
        <w:adjustRightInd w:val="0"/>
        <w:jc w:val="center"/>
        <w:rPr>
          <w:rFonts w:eastAsia="黑体"/>
        </w:rPr>
      </w:pPr>
    </w:p>
    <w:tbl>
      <w:tblPr>
        <w:tblStyle w:val="5"/>
        <w:tblW w:w="101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151"/>
        <w:gridCol w:w="2398"/>
        <w:gridCol w:w="2549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>汇编循环程序设计</w:t>
            </w:r>
          </w:p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2021年 4月22日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1、掌握循环控制指令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2、掌握计数控制循环方法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3、掌握条件控制循环方法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题目 :要求使用键盘输入特定字符串,存储在内存中,并对特定字符进行统计，并将统计结果分别存储在自定义的内存单元中，并在屏幕上显示出来相应的次数，该字符串以$符号结束。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（1）特定的字符有:大写字母、小写字母、数字及其他字符四类。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（2）特定的字符串为AAAaaa123456???$共1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个字符。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（3）利用masm对源程序进行汇编，运行。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（4）注意，对关键行一定要写注释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4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adjustRightInd w:val="0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  <w:jc w:val="center"/>
        </w:trPr>
        <w:tc>
          <w:tcPr>
            <w:tcW w:w="10195" w:type="dxa"/>
            <w:gridSpan w:val="5"/>
          </w:tcPr>
          <w:p>
            <w:pPr>
              <w:adjustRightInd w:val="0"/>
              <w:spacing w:line="500" w:lineRule="exact"/>
              <w:rPr>
                <w:b/>
              </w:rPr>
            </w:pPr>
            <w:r>
              <w:rPr>
                <w:rFonts w:hint="eastAsia"/>
                <w:b/>
              </w:rPr>
              <w:t>三、实验总结与收获</w:t>
            </w:r>
          </w:p>
          <w:p>
            <w:pPr>
              <w:adjustRightInd w:val="0"/>
              <w:spacing w:line="500" w:lineRule="exact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具有较高可拓展性：</w:t>
            </w:r>
            <w:bookmarkStart w:id="0" w:name="_GoBack"/>
            <w:bookmarkEnd w:id="0"/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548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549" w:type="dxa"/>
            <w:gridSpan w:val="2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7" w:h="16840"/>
      <w:pgMar w:top="720" w:right="720" w:bottom="720" w:left="720" w:header="851" w:footer="992" w:gutter="0"/>
      <w:cols w:space="720" w:num="1"/>
      <w:docGrid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altName w:val="Droid Sans Fallbac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F053C"/>
    <w:multiLevelType w:val="singleLevel"/>
    <w:tmpl w:val="49AF05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DFB"/>
    <w:rsid w:val="000C2254"/>
    <w:rsid w:val="00172A27"/>
    <w:rsid w:val="00242329"/>
    <w:rsid w:val="002557EC"/>
    <w:rsid w:val="00292BB7"/>
    <w:rsid w:val="002F0F2D"/>
    <w:rsid w:val="00321AA5"/>
    <w:rsid w:val="0035673B"/>
    <w:rsid w:val="00385CB8"/>
    <w:rsid w:val="00392CFB"/>
    <w:rsid w:val="003C1A8A"/>
    <w:rsid w:val="003C7EF0"/>
    <w:rsid w:val="003E38A6"/>
    <w:rsid w:val="004710D8"/>
    <w:rsid w:val="00483A2E"/>
    <w:rsid w:val="004A3809"/>
    <w:rsid w:val="005446EF"/>
    <w:rsid w:val="00554E77"/>
    <w:rsid w:val="005604F4"/>
    <w:rsid w:val="005760DC"/>
    <w:rsid w:val="005D0DED"/>
    <w:rsid w:val="005D6C2A"/>
    <w:rsid w:val="00696C91"/>
    <w:rsid w:val="006C0A72"/>
    <w:rsid w:val="00730F4B"/>
    <w:rsid w:val="0073447E"/>
    <w:rsid w:val="00837079"/>
    <w:rsid w:val="008E6D5A"/>
    <w:rsid w:val="009247E8"/>
    <w:rsid w:val="00941664"/>
    <w:rsid w:val="009B7599"/>
    <w:rsid w:val="009E0911"/>
    <w:rsid w:val="009E4E1B"/>
    <w:rsid w:val="009F2C75"/>
    <w:rsid w:val="009F3C02"/>
    <w:rsid w:val="00A00E09"/>
    <w:rsid w:val="00A46EAC"/>
    <w:rsid w:val="00AB1A31"/>
    <w:rsid w:val="00AB3D29"/>
    <w:rsid w:val="00B110E6"/>
    <w:rsid w:val="00B92B2B"/>
    <w:rsid w:val="00BA5AA2"/>
    <w:rsid w:val="00C80E4D"/>
    <w:rsid w:val="00CE082A"/>
    <w:rsid w:val="00CF0B0E"/>
    <w:rsid w:val="00CF7587"/>
    <w:rsid w:val="00D773D6"/>
    <w:rsid w:val="00E6281E"/>
    <w:rsid w:val="00E972E5"/>
    <w:rsid w:val="00F601EA"/>
    <w:rsid w:val="01E27C08"/>
    <w:rsid w:val="046D48D5"/>
    <w:rsid w:val="09FA78B3"/>
    <w:rsid w:val="0A0227C3"/>
    <w:rsid w:val="0C722C01"/>
    <w:rsid w:val="0CFF3A7B"/>
    <w:rsid w:val="0E9952D2"/>
    <w:rsid w:val="10EF4A0E"/>
    <w:rsid w:val="159766EE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475E7769"/>
    <w:rsid w:val="4BDD151B"/>
    <w:rsid w:val="4CB1077D"/>
    <w:rsid w:val="4CD7F346"/>
    <w:rsid w:val="5D7B3423"/>
    <w:rsid w:val="6B5C200C"/>
    <w:rsid w:val="75FA3AA3"/>
    <w:rsid w:val="77F01873"/>
    <w:rsid w:val="78104E8D"/>
    <w:rsid w:val="79B6661C"/>
    <w:rsid w:val="7B9772CD"/>
    <w:rsid w:val="FFC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4"/>
    <w:qFormat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样式 四号 加粗"/>
    <w:uiPriority w:val="0"/>
    <w:rPr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2</Pages>
  <Words>82</Words>
  <Characters>474</Characters>
  <Lines>3</Lines>
  <Paragraphs>1</Paragraphs>
  <TotalTime>1012</TotalTime>
  <ScaleCrop>false</ScaleCrop>
  <LinksUpToDate>false</LinksUpToDate>
  <CharactersWithSpaces>555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2018-04-10T19:22:00Z</dcterms:created>
  <dc:creator>cherry</dc:creator>
  <cp:lastModifiedBy>zinkt</cp:lastModifiedBy>
  <cp:lastPrinted>2005-03-29T23:04:00Z</cp:lastPrinted>
  <dcterms:modified xsi:type="dcterms:W3CDTF">2021-05-04T19:28:33Z</dcterms:modified>
  <dc:title>《计算机应用基础》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