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AE7AD" w14:textId="0AD4EF1B" w:rsidR="003E50E1" w:rsidRDefault="00B358BB">
      <w:pPr>
        <w:rPr>
          <w:lang w:val="en-US"/>
        </w:rPr>
      </w:pPr>
      <w:r>
        <w:rPr>
          <w:lang w:val="en-US"/>
        </w:rPr>
        <w:t>PL-900: Microsoft Power Platform Fundamentals</w:t>
      </w:r>
    </w:p>
    <w:p w14:paraId="0829DE7E" w14:textId="55C5114F"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1FB1EEFB"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can be created from “Setting” -&gt; “Admin Center”, then go to “Environments” on left menu. Click on + sign to create a new environment. Each environment consume 1GB of space with or without Dataverse.</w:t>
      </w:r>
    </w:p>
    <w:p w14:paraId="51B507DB" w14:textId="39AF0235" w:rsidR="00B358BB" w:rsidRDefault="00B358BB">
      <w:pPr>
        <w:rPr>
          <w:lang w:val="en-US"/>
        </w:rPr>
      </w:pPr>
      <w:r>
        <w:rPr>
          <w:lang w:val="en-US"/>
        </w:rPr>
        <w:t>In environment, you can select “Region”. Select “Type” such as Production, Developer, Trial, Sandbox. Trial environment valid for 30 days and automatically remove after that.</w:t>
      </w:r>
    </w:p>
    <w:p w14:paraId="03B9E5DF" w14:textId="64686B09"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760B43CC"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p>
    <w:p w14:paraId="22C6CA23" w14:textId="59531C97" w:rsidR="00B75EA3" w:rsidRDefault="00B75EA3">
      <w:pPr>
        <w:rPr>
          <w:lang w:val="en-US"/>
        </w:rPr>
      </w:pPr>
      <w:r>
        <w:rPr>
          <w:lang w:val="en-US"/>
        </w:rPr>
        <w:t xml:space="preserve">Read more at </w:t>
      </w:r>
      <w:hyperlink r:id="rId5"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306F58ED">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6A3B9F72"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Model driven app provide</w:t>
      </w:r>
      <w:r w:rsidR="00E206D9">
        <w:rPr>
          <w:lang w:val="en-US"/>
        </w:rPr>
        <w:t>s</w:t>
      </w:r>
      <w:r w:rsidR="007F3A4B">
        <w:rPr>
          <w:lang w:val="en-US"/>
        </w:rPr>
        <w:t xml:space="preserve"> more options for business rule compared to Canvas app. </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Realtime workflow </w:t>
      </w:r>
      <w:r w:rsidR="00E206D9">
        <w:rPr>
          <w:lang w:val="en-US"/>
        </w:rPr>
        <w:t>–</w:t>
      </w:r>
      <w:r>
        <w:rPr>
          <w:lang w:val="en-US"/>
        </w:rPr>
        <w:t xml:space="preserve"> </w:t>
      </w:r>
      <w:r w:rsidR="00E206D9">
        <w:rPr>
          <w:lang w:val="en-US"/>
        </w:rPr>
        <w:t xml:space="preserve">workflows are added to the solution. Go to solution and select the solution you want to add workflows. Workflow is located under Automation -&gt; Process. </w:t>
      </w:r>
      <w:r w:rsidR="00E206D9">
        <w:rPr>
          <w:lang w:val="en-US"/>
        </w:rPr>
        <w:lastRenderedPageBreak/>
        <w:t>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0DC8928E"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Action run based on something happened, such as workflow executed. Action provide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7"/>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21DDA947"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runs on demand on button press from power app or other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5EBDB3B7" w:rsidR="006C260A" w:rsidRPr="00E725CE" w:rsidRDefault="00EE7BC9" w:rsidP="00E725CE">
      <w:pPr>
        <w:rPr>
          <w:lang w:val="en-US"/>
        </w:rPr>
      </w:pPr>
      <w:r>
        <w:rPr>
          <w:lang w:val="en-US"/>
        </w:rPr>
        <w:t>Power Automate use triggers. Power App didn’t use triggers.</w:t>
      </w:r>
    </w:p>
    <w:sectPr w:rsidR="006C260A" w:rsidRPr="00E7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55923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3424E"/>
    <w:rsid w:val="000D10B2"/>
    <w:rsid w:val="00122E69"/>
    <w:rsid w:val="002351DF"/>
    <w:rsid w:val="003829E1"/>
    <w:rsid w:val="003E50E1"/>
    <w:rsid w:val="004779E5"/>
    <w:rsid w:val="004E12FB"/>
    <w:rsid w:val="00507D75"/>
    <w:rsid w:val="006365E9"/>
    <w:rsid w:val="006C260A"/>
    <w:rsid w:val="007247D6"/>
    <w:rsid w:val="007B1CBE"/>
    <w:rsid w:val="007F2C05"/>
    <w:rsid w:val="007F3A4B"/>
    <w:rsid w:val="00870802"/>
    <w:rsid w:val="008E10A1"/>
    <w:rsid w:val="009B0956"/>
    <w:rsid w:val="00A708F4"/>
    <w:rsid w:val="00A7573F"/>
    <w:rsid w:val="00A85FB0"/>
    <w:rsid w:val="00AB3AB1"/>
    <w:rsid w:val="00B358BB"/>
    <w:rsid w:val="00B75EA3"/>
    <w:rsid w:val="00CF47EE"/>
    <w:rsid w:val="00D06173"/>
    <w:rsid w:val="00E206D9"/>
    <w:rsid w:val="00E52438"/>
    <w:rsid w:val="00E725CE"/>
    <w:rsid w:val="00EE7BC9"/>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earn.microsoft.com/en-us/power-platform/alm/solution-concepts-al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Zin Myint Naung</cp:lastModifiedBy>
  <cp:revision>15</cp:revision>
  <dcterms:created xsi:type="dcterms:W3CDTF">2024-10-26T17:31:00Z</dcterms:created>
  <dcterms:modified xsi:type="dcterms:W3CDTF">2024-10-28T03:56:00Z</dcterms:modified>
</cp:coreProperties>
</file>