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演講內容與投影片整合</w:t>
      </w:r>
    </w:p>
    <w:p>
      <w:pPr>
        <w:jc w:val="right"/>
      </w:pPr>
      <w:r>
        <w:t>生成日期: 2025-07-18 04:39</w:t>
      </w:r>
    </w:p>
    <w:p/>
    <w:p>
      <w:r>
        <w:t>好的，這是一份根據您提供的演講內容和投影片分析所整合的詳細會議筆記。</w:t>
      </w:r>
    </w:p>
    <w:p/>
    <w:p>
      <w:r>
        <w:t>---</w:t>
      </w:r>
    </w:p>
    <w:p/>
    <w:p>
      <w:pPr>
        <w:pStyle w:val="Heading2"/>
      </w:pPr>
      <w:r>
        <w:t>**會議筆記：MASLD與糖尿病的新興療法生理基礎**</w:t>
      </w:r>
    </w:p>
    <w:p/>
    <w:p>
      <w:r/>
      <w:r>
        <w:rPr>
          <w:b/>
        </w:rPr>
        <w:t>會議：</w:t>
      </w:r>
      <w:r>
        <w:t xml:space="preserve"> 美國糖尿病協會第85屆科學會議 (85th Scientific Sessions, American Diabetes Association)</w:t>
      </w:r>
    </w:p>
    <w:p>
      <w:r/>
      <w:r>
        <w:rPr>
          <w:b/>
        </w:rPr>
        <w:t>主題：</w:t>
      </w:r>
      <w:r>
        <w:t xml:space="preserve"> MASLD與糖尿病新療法的生理基礎 (Physiologic Underpinnings behind New Therapies for MASLD and Diabetes)</w:t>
      </w:r>
    </w:p>
    <w:p/>
    <w:p>
      <w:pPr>
        <w:pStyle w:val="Heading3"/>
      </w:pPr>
      <w:r>
        <w:t>**第一部分：甲狀腺激素、甲狀腺激素受體與MASLD**</w:t>
      </w:r>
    </w:p>
    <w:p/>
    <w:p>
      <w:r/>
      <w:r>
        <w:rPr>
          <w:b/>
        </w:rPr>
        <w:t>演講者：</w:t>
      </w:r>
      <w:r>
        <w:t xml:space="preserve"> Christopher Byrne 教授 (Prof. Christopher Byrne), 南安普敦大學</w:t>
      </w:r>
    </w:p>
    <w:p/>
    <w:p>
      <w:pPr>
        <w:pStyle w:val="Heading4"/>
      </w:pPr>
      <w:r>
        <w:t>**引言：MASLD作為一種多系統疾病**</w:t>
      </w:r>
    </w:p>
    <w:p/>
    <w:p>
      <w:r>
        <w:t>非酒精性脂肪性肝病 (NAFLD)，現稱為代謝功能障礙相關脂肪性肝病 (MASLD)，是一種多系統疾病，其影響遠超肝臟本身。早在2015年，我們就在《肝病學雜誌》中描述了NAFLD與多系統疾病的關聯，強調肝臟脂肪、胰島素阻抗和脂質新生之間的相互作用，這些因素會增加極低密度脂蛋白 (VLDL) 的產生，從而可能增加心血管疾病的風險。</w:t>
      </w:r>
    </w:p>
    <w:p/>
    <w:p>
      <w:r>
        <w:t xml:space="preserve">📊 </w:t>
      </w:r>
      <w:r>
        <w:rPr>
          <w:b/>
        </w:rPr>
        <w:t>投影片補充：</w:t>
      </w:r>
      <w:r>
        <w:t xml:space="preserve"> 根據投影片顯示，NAFLD被認為是第2型糖尿病 (風險增加</w:t>
      </w:r>
      <w:r>
        <w:rPr>
          <w:b/>
        </w:rPr>
        <w:t>2.2倍</w:t>
      </w:r>
      <w:r>
        <w:t>) 和心血管疾病 (風險增加</w:t>
      </w:r>
      <w:r>
        <w:rPr>
          <w:b/>
        </w:rPr>
        <w:t>1.6倍</w:t>
      </w:r>
      <w:r>
        <w:t>) 的獨立風險因子。肝臟脂肪的減少與糖尿病事件風險的降低有關。此過程涉及多種代謝路徑，包括由神經醯胺 (Ceramide) 和甘油二酯 (DAG) 誘導的肝臟胰島素阻抗，以及因發炎和氧化壓力導致的線粒體功能障礙。</w:t>
      </w:r>
    </w:p>
    <w:p>
      <w:r>
        <w:t>[圖片不存在: slide_011_t3m19.0s_he52e7683.jpg]</w:t>
      </w:r>
    </w:p>
    <w:p/>
    <w:p>
      <w:r>
        <w:t>2023年，一項Delphi程序重新定義了NAFLD，確立了</w:t>
      </w:r>
      <w:r>
        <w:rPr>
          <w:b/>
        </w:rPr>
        <w:t>MASLD</w:t>
      </w:r>
      <w:r>
        <w:t>這一新術語，其核心在於代謝功能障礙。診斷MASLD需要在存在肝臟脂肪變性的基礎上，至少滿足五項代謝異常中的一項。這些特徵基本上與2009年首次描述的代謝症候群特徵一致。</w:t>
      </w:r>
    </w:p>
    <w:p/>
    <w:p>
      <w:r>
        <w:t xml:space="preserve">📊 </w:t>
      </w:r>
      <w:r>
        <w:rPr>
          <w:b/>
        </w:rPr>
        <w:t>投影片補充：</w:t>
      </w:r>
      <w:r>
        <w:t xml:space="preserve"> 根據2023年Rinella等人在《HEPATOLOGY》發表的標準，診斷MASLD需要肝臟脂肪變性，並伴有以下五項代謝異常中的至少一項：</w:t>
      </w:r>
    </w:p>
    <w:p>
      <w:r>
        <w:t>1.  體重過重或肥胖 (高加索人BMI ≥25 kg/m², 亞洲人BMI ≥23 kg/m²)</w:t>
      </w:r>
    </w:p>
    <w:p>
      <w:r>
        <w:t>2.  空腹血糖 ≥100 mg/dL (5.6 mmol/L) 或符合糖尿病前期/第2型糖尿病標準</w:t>
      </w:r>
    </w:p>
    <w:p>
      <w:r>
        <w:t>3.  血壓 ≥130/85 mmHg 或正在接受降壓治療</w:t>
      </w:r>
    </w:p>
    <w:p>
      <w:r>
        <w:t>4.  血漿三酸甘油酯 ≥150 mg/dL (1.70 mmol/L) 或正在接受降脂治療</w:t>
      </w:r>
    </w:p>
    <w:p>
      <w:r>
        <w:t>5.  血漿高密度脂蛋白膽固醇 (HDL-C) 過低 (男性 &lt;40 mg/dL, 女性 &lt;50 mg/dL)</w:t>
      </w:r>
    </w:p>
    <w:p>
      <w:r>
        <w:t>[圖片不存在: slide_012_t3m20.2s_he668cbe8.jpg]</w:t>
      </w:r>
    </w:p>
    <w:p/>
    <w:p>
      <w:r>
        <w:t>MASLD與多種肝外疾病風險的增加密切相關。透過與多國團隊合作進行的統合分析，我們證實MASLD會增加心血管疾病、第2型糖尿病、慢性腎病及某些肝外癌症的風險。MASLD患者的臨床表現多樣，可能包括肝臟脂肪、胰島素阻抗、中心性肥胖、致動脈粥樣硬化的脂蛋白表型（高三酸甘油酯、低HDL-C、小而密的LDL-C）、高血壓和血糖異常等。</w:t>
      </w:r>
    </w:p>
    <w:p>
      <w:r>
        <w:t>[圖片不存在: slide_013_t4m33.0s_g12_hbf6847a4.jpg]</w:t>
      </w:r>
    </w:p>
    <w:p>
      <w:r>
        <w:t>[圖片不存在: slide_014_t6m43.0s_g13_he5a2d99e.jpg]</w:t>
      </w:r>
    </w:p>
    <w:p/>
    <w:p>
      <w:pPr>
        <w:pStyle w:val="Heading4"/>
      </w:pPr>
      <w:r>
        <w:t>**甲狀腺功能與MASLD風險**</w:t>
      </w:r>
    </w:p>
    <w:p/>
    <w:p>
      <w:r>
        <w:t>近期，甲狀腺激素受體β (THR-β) 激動劑引起了極大關注。由於THR-β主要在肝臟中表達，甲狀腺產生的活性分子T3作用於肝臟的THR-β，其效應基本上是肝臟特異性的。</w:t>
      </w:r>
    </w:p>
    <w:p/>
    <w:p>
      <w:r>
        <w:t xml:space="preserve">📊 </w:t>
      </w:r>
      <w:r>
        <w:rPr>
          <w:b/>
        </w:rPr>
        <w:t>投影片補充：</w:t>
      </w:r>
      <w:r>
        <w:t xml:space="preserve"> 投影片的圖示顯示，THR-β激動劑 (如resmetirom) 作用於肝臟，可能帶來多重益處。在肝臟方面，它能減少新生脂肪生成 (DNL)、脂毒性、發炎、氧化壓力及纖維化。在心血管方面，它能降低膽固醇、LDL、ApoB、Lp(a) 和三酸甘油酯，這些都是MASLD患者心血管風險增加的重要因素。</w:t>
      </w:r>
    </w:p>
    <w:p>
      <w:r>
        <w:t>[圖片不存在: slide_015_t7m55.0s_hfe2ac5a5.jpg]</w:t>
      </w:r>
    </w:p>
    <w:p>
      <w:r>
        <w:t>[圖片不存在: slide_016_t7m56.2s_hf2aa58ca.jpg]</w:t>
      </w:r>
    </w:p>
    <w:p/>
    <w:p>
      <w:r>
        <w:t>我們在2024年於《Gut》雜誌上發表了一項統合分析，探討了原發性甲狀腺功能低下與MASLD之間的關聯。</w:t>
      </w:r>
    </w:p>
    <w:p/>
    <w:p>
      <w:r>
        <w:t xml:space="preserve">📊 </w:t>
      </w:r>
      <w:r>
        <w:rPr>
          <w:b/>
        </w:rPr>
        <w:t>投影片補充：</w:t>
      </w:r>
      <w:r>
        <w:t xml:space="preserve"> 該統合分析匯總了</w:t>
      </w:r>
      <w:r>
        <w:rPr>
          <w:b/>
        </w:rPr>
        <w:t>24項</w:t>
      </w:r>
      <w:r>
        <w:t>橫斷面研究和</w:t>
      </w:r>
      <w:r>
        <w:rPr>
          <w:b/>
        </w:rPr>
        <w:t>4項</w:t>
      </w:r>
      <w:r>
        <w:t>縱向研究，共涉及</w:t>
      </w:r>
      <w:r>
        <w:rPr>
          <w:b/>
        </w:rPr>
        <w:t>7,650萬</w:t>
      </w:r>
      <w:r>
        <w:t>名個體。結果顯示：</w:t>
      </w:r>
    </w:p>
    <w:p>
      <w:r>
        <w:t xml:space="preserve">*   在橫斷面研究中，原發性甲狀腺功能低下與MASLD的盛行率顯著相關 (勝算比 </w:t>
      </w:r>
      <w:r>
        <w:rPr>
          <w:b/>
        </w:rPr>
        <w:t>OR 1.43</w:t>
      </w:r>
      <w:r>
        <w:t>, 95% CI 1.23-1.66)。</w:t>
      </w:r>
    </w:p>
    <w:p>
      <w:r>
        <w:t xml:space="preserve">*   甲狀腺功能低下與更嚴重的MASH或晚期纖維化的關聯更強 (勝算比 </w:t>
      </w:r>
      <w:r>
        <w:rPr>
          <w:b/>
        </w:rPr>
        <w:t>OR 2.84</w:t>
      </w:r>
      <w:r>
        <w:t>, 95% CI 2.07-3.90)。</w:t>
      </w:r>
    </w:p>
    <w:p>
      <w:r>
        <w:t xml:space="preserve">*   在縱向研究中，甲狀腺功能低下與未來發生MASLD的風險呈邊緣顯著關聯 (風險比 </w:t>
      </w:r>
      <w:r>
        <w:rPr>
          <w:b/>
        </w:rPr>
        <w:t>HR 1.39</w:t>
      </w:r>
      <w:r>
        <w:t>, 95% CI 0.98-1.97)，中位追蹤時間為</w:t>
      </w:r>
      <w:r>
        <w:rPr>
          <w:b/>
        </w:rPr>
        <w:t>4.5年</w:t>
      </w:r>
      <w:r>
        <w:t>。</w:t>
      </w:r>
    </w:p>
    <w:p>
      <w:r>
        <w:t>[圖片不存在: slide_017_t8m45.0s_hfca960c9.jpg]</w:t>
      </w:r>
    </w:p>
    <w:p/>
    <w:p>
      <w:r>
        <w:t>最近瑞典的一項全國性研究進一步支持了這一關聯，並利用孟德爾隨機化分析探討了因果關係。</w:t>
      </w:r>
    </w:p>
    <w:p/>
    <w:p>
      <w:r>
        <w:t xml:space="preserve">📊 </w:t>
      </w:r>
      <w:r>
        <w:rPr>
          <w:b/>
        </w:rPr>
        <w:t>投影片補充：</w:t>
      </w:r>
      <w:r>
        <w:t xml:space="preserve"> 該研究納入了</w:t>
      </w:r>
      <w:r>
        <w:rPr>
          <w:b/>
        </w:rPr>
        <w:t>12,172名</w:t>
      </w:r>
      <w:r>
        <w:t>MASLD患者和</w:t>
      </w:r>
      <w:r>
        <w:rPr>
          <w:b/>
        </w:rPr>
        <w:t>56,831名</w:t>
      </w:r>
      <w:r>
        <w:t>對照者。結果顯示：</w:t>
      </w:r>
    </w:p>
    <w:p>
      <w:r>
        <w:t xml:space="preserve">*   甲狀腺功能低下與MASLD的關聯性勝算比為 </w:t>
      </w:r>
      <w:r>
        <w:rPr>
          <w:b/>
        </w:rPr>
        <w:t>1.68</w:t>
      </w:r>
      <w:r>
        <w:t xml:space="preserve"> (95% CI: 1.36-2.06)。</w:t>
      </w:r>
    </w:p>
    <w:p>
      <w:r>
        <w:t>*   儘管甲狀腺功能低下在MASLD患者中僅佔</w:t>
      </w:r>
      <w:r>
        <w:rPr>
          <w:b/>
        </w:rPr>
        <w:t>2.5%</w:t>
      </w:r>
      <w:r>
        <w:t>，在對照組中為</w:t>
      </w:r>
      <w:r>
        <w:rPr>
          <w:b/>
        </w:rPr>
        <w:t>1.4%</w:t>
      </w:r>
      <w:r>
        <w:t>，但基因預測的TSH水平升高與MASLD風險增加相關。</w:t>
      </w:r>
    </w:p>
    <w:p>
      <w:r>
        <w:t>*   中介分析表明，在甲狀腺功能低下診斷後發生的代謝性疾病，解釋了約</w:t>
      </w:r>
      <w:r>
        <w:rPr>
          <w:b/>
        </w:rPr>
        <w:t>41%</w:t>
      </w:r>
      <w:r>
        <w:t>的MASLD風險。</w:t>
      </w:r>
    </w:p>
    <w:p>
      <w:r>
        <w:t>[圖片不存在: slide_018_t10m50.0s_g17_hd0affc02.jpg]</w:t>
      </w:r>
    </w:p>
    <w:p>
      <w:r>
        <w:t>[圖片不存在: slide_019_t11m35.0s_hd5ae518c.jpg]</w:t>
      </w:r>
    </w:p>
    <w:p/>
    <w:p>
      <w:pPr>
        <w:pStyle w:val="Heading4"/>
      </w:pPr>
      <w:r>
        <w:t>**MAESTRO-NASH試驗：Resmetirom的療效與安全性**</w:t>
      </w:r>
    </w:p>
    <w:p/>
    <w:p>
      <w:r>
        <w:t>Resmetirom是一種THR-β激動劑，MAESTRO-NASH是一項評估其治療MASH療效和安全性的關鍵試驗。</w:t>
      </w:r>
    </w:p>
    <w:p/>
    <w:p>
      <w:r>
        <w:t xml:space="preserve">📊 </w:t>
      </w:r>
      <w:r>
        <w:rPr>
          <w:b/>
        </w:rPr>
        <w:t>投影片補充：</w:t>
      </w:r>
      <w:r/>
    </w:p>
    <w:p>
      <w:r>
        <w:t xml:space="preserve">*   </w:t>
      </w:r>
      <w:r>
        <w:rPr>
          <w:b/>
        </w:rPr>
        <w:t>試驗設計：</w:t>
      </w:r>
      <w:r>
        <w:t xml:space="preserve"> 這是一項正在進行的III期、雙盲、隨機、安慰劑對照試驗，在</w:t>
      </w:r>
      <w:r>
        <w:rPr>
          <w:b/>
        </w:rPr>
        <w:t>15個</w:t>
      </w:r>
      <w:r>
        <w:t>國家的</w:t>
      </w:r>
      <w:r>
        <w:rPr>
          <w:b/>
        </w:rPr>
        <w:t>245個</w:t>
      </w:r>
      <w:r>
        <w:t>地點進行，計劃持續</w:t>
      </w:r>
      <w:r>
        <w:rPr>
          <w:b/>
        </w:rPr>
        <w:t>54個月</w:t>
      </w:r>
      <w:r>
        <w:t>。52週的肝活檢主要終點已在首批1050名患者中進行評估。</w:t>
      </w:r>
    </w:p>
    <w:p>
      <w:r>
        <w:t>[圖片不存在: slide_021_t13m20.0s_g20_hfce2d09d.jpg]</w:t>
      </w:r>
    </w:p>
    <w:p>
      <w:r>
        <w:t xml:space="preserve">*   </w:t>
      </w:r>
      <w:r>
        <w:rPr>
          <w:b/>
        </w:rPr>
        <w:t>納入標準：</w:t>
      </w:r>
      <w:r>
        <w:t xml:space="preserve"> 年齡≥18歲，具有至少</w:t>
      </w:r>
      <w:r>
        <w:rPr>
          <w:b/>
        </w:rPr>
        <w:t>3個</w:t>
      </w:r>
      <w:r>
        <w:t>代謝風險因子（約</w:t>
      </w:r>
      <w:r>
        <w:rPr>
          <w:b/>
        </w:rPr>
        <w:t>60%</w:t>
      </w:r>
      <w:r>
        <w:t>患者有第2型糖尿病），並通過VCTE（FibroScan）或肝活檢確認。纖維化分期要求至少</w:t>
      </w:r>
      <w:r>
        <w:rPr>
          <w:b/>
        </w:rPr>
        <w:t>50%</w:t>
      </w:r>
      <w:r>
        <w:t>的受試者為F3期，不超過</w:t>
      </w:r>
      <w:r>
        <w:rPr>
          <w:b/>
        </w:rPr>
        <w:t>15%</w:t>
      </w:r>
      <w:r>
        <w:t>為F1期。</w:t>
      </w:r>
    </w:p>
    <w:p>
      <w:r>
        <w:t>[圖片不存在: slide_022_t14m0.0s_g21_hbfb1c08e.jpg]</w:t>
      </w:r>
    </w:p>
    <w:p>
      <w:r>
        <w:t>[圖片不存在: slide_023_t14m25.0s_g22_hfbe8958e.jpg]</w:t>
      </w:r>
    </w:p>
    <w:p>
      <w:r>
        <w:t xml:space="preserve">*   </w:t>
      </w:r>
      <w:r>
        <w:rPr>
          <w:b/>
        </w:rPr>
        <w:t>排除標準：</w:t>
      </w:r>
      <w:r>
        <w:t xml:space="preserve"> 酒精攝取過量（女性&gt;20克/天，男性&gt;30克/天），糖化血色素（HbA1c）</w:t>
      </w:r>
      <w:r>
        <w:rPr>
          <w:b/>
        </w:rPr>
        <w:t>&gt;9.0%</w:t>
      </w:r>
      <w:r>
        <w:t>。</w:t>
      </w:r>
    </w:p>
    <w:p>
      <w:r>
        <w:t>[圖片不存在: slide_024_t14m40.0s_g23_hbdbad7e3.jpg]</w:t>
      </w:r>
    </w:p>
    <w:p>
      <w:r>
        <w:t xml:space="preserve">*   </w:t>
      </w:r>
      <w:r>
        <w:rPr>
          <w:b/>
        </w:rPr>
        <w:t>主要終點 (52週)：</w:t>
      </w:r>
      <w:r/>
    </w:p>
    <w:p>
      <w:r>
        <w:t>1.  MASH緩解且纖維化無惡化。</w:t>
      </w:r>
    </w:p>
    <w:p>
      <w:r>
        <w:t>2.  纖維化改善至少一個分期且NAFLD活動性評分無惡化。</w:t>
      </w:r>
    </w:p>
    <w:p>
      <w:r>
        <w:t xml:space="preserve">*   </w:t>
      </w:r>
      <w:r>
        <w:rPr>
          <w:b/>
        </w:rPr>
        <w:t>關鍵次要終點：</w:t>
      </w:r>
      <w:r>
        <w:t xml:space="preserve"> 第24週LDL膽固醇自基線的百分比變化。</w:t>
      </w:r>
    </w:p>
    <w:p>
      <w:r>
        <w:t>[圖片不存在: slide_025_t15m15.0s_g24_hb83bc7cc.jpg]</w:t>
      </w:r>
    </w:p>
    <w:p/>
    <w:p>
      <w:r/>
      <w:r>
        <w:rPr>
          <w:b/>
        </w:rPr>
        <w:t>試驗結果：</w:t>
      </w:r>
      <w:r/>
    </w:p>
    <w:p>
      <w:r>
        <w:t>在兩個主要終點上，Resmetirom組均顯示出高度顯著的改善。在兩個主要終點都達到改善的患者比例雖然不高，但與安慰劑組相比差異顯著。</w:t>
      </w:r>
    </w:p>
    <w:p/>
    <w:p>
      <w:r>
        <w:t xml:space="preserve">📊 </w:t>
      </w:r>
      <w:r>
        <w:rPr>
          <w:b/>
        </w:rPr>
        <w:t>投影片補充：</w:t>
      </w:r>
      <w:r>
        <w:t xml:space="preserve"> 投影片的圖表數據指出：</w:t>
      </w:r>
    </w:p>
    <w:p>
      <w:r>
        <w:t xml:space="preserve">*   </w:t>
      </w:r>
      <w:r>
        <w:rPr>
          <w:b/>
        </w:rPr>
        <w:t>MASH緩解：</w:t>
      </w:r>
      <w:r>
        <w:t xml:space="preserve"> 100mg組為</w:t>
      </w:r>
      <w:r>
        <w:rPr>
          <w:b/>
        </w:rPr>
        <w:t>29.9%</w:t>
      </w:r>
      <w:r>
        <w:t>，80mg組為</w:t>
      </w:r>
      <w:r>
        <w:rPr>
          <w:b/>
        </w:rPr>
        <w:t>25.9%</w:t>
      </w:r>
      <w:r>
        <w:t>，而安慰劑組為</w:t>
      </w:r>
      <w:r>
        <w:rPr>
          <w:b/>
        </w:rPr>
        <w:t>9.7%</w:t>
      </w:r>
      <w:r>
        <w:t xml:space="preserve"> (P &lt; 0.001)。</w:t>
      </w:r>
    </w:p>
    <w:p>
      <w:r>
        <w:t xml:space="preserve">*   </w:t>
      </w:r>
      <w:r>
        <w:rPr>
          <w:b/>
        </w:rPr>
        <w:t>纖維化改善：</w:t>
      </w:r>
      <w:r>
        <w:t xml:space="preserve"> 100mg組為</w:t>
      </w:r>
      <w:r>
        <w:rPr>
          <w:b/>
        </w:rPr>
        <w:t>25.9%</w:t>
      </w:r>
      <w:r>
        <w:t>，80mg組為</w:t>
      </w:r>
      <w:r>
        <w:rPr>
          <w:b/>
        </w:rPr>
        <w:t>24.2%</w:t>
      </w:r>
      <w:r>
        <w:t>，而安慰劑組為</w:t>
      </w:r>
      <w:r>
        <w:rPr>
          <w:b/>
        </w:rPr>
        <w:t>14.2%</w:t>
      </w:r>
      <w:r>
        <w:t xml:space="preserve"> (P &lt; 0.001)。</w:t>
      </w:r>
    </w:p>
    <w:p>
      <w:r>
        <w:t xml:space="preserve">*   </w:t>
      </w:r>
      <w:r>
        <w:rPr>
          <w:b/>
        </w:rPr>
        <w:t>同時達到兩個主要終點：</w:t>
      </w:r>
      <w:r>
        <w:t xml:space="preserve"> 100mg組為</w:t>
      </w:r>
      <w:r>
        <w:rPr>
          <w:b/>
        </w:rPr>
        <w:t>16.0%</w:t>
      </w:r>
      <w:r>
        <w:t>，80mg組為</w:t>
      </w:r>
      <w:r>
        <w:rPr>
          <w:b/>
        </w:rPr>
        <w:t>14.2%</w:t>
      </w:r>
      <w:r>
        <w:t>，而安慰劑組僅</w:t>
      </w:r>
      <w:r>
        <w:rPr>
          <w:b/>
        </w:rPr>
        <w:t>4.9%</w:t>
      </w:r>
      <w:r>
        <w:t>。</w:t>
      </w:r>
    </w:p>
    <w:p>
      <w:r>
        <w:t xml:space="preserve">*   </w:t>
      </w:r>
      <w:r>
        <w:rPr>
          <w:b/>
        </w:rPr>
        <w:t>LDL膽固醇變化 (次要終點)：</w:t>
      </w:r>
      <w:r>
        <w:t xml:space="preserve"> 在第24週，100mg組LDL-C顯著降低</w:t>
      </w:r>
      <w:r>
        <w:rPr>
          <w:b/>
        </w:rPr>
        <w:t>-16.3%</w:t>
      </w:r>
      <w:r>
        <w:t>，80mg組降低</w:t>
      </w:r>
      <w:r>
        <w:rPr>
          <w:b/>
        </w:rPr>
        <w:t>-13.6%</w:t>
      </w:r>
      <w:r>
        <w:t xml:space="preserve"> (P &lt; 0.001)。</w:t>
      </w:r>
    </w:p>
    <w:p>
      <w:r>
        <w:t>[圖片不存在: slide_027_t16m40.0s_g26_hcca9d5a4.jpg]</w:t>
      </w:r>
    </w:p>
    <w:p/>
    <w:p>
      <w:r>
        <w:t>在其他次要終點方面，Resmetirom對體重和血壓無影響，但顯著改善了血脂譜。</w:t>
      </w:r>
    </w:p>
    <w:p/>
    <w:p>
      <w:r>
        <w:t xml:space="preserve">📊 </w:t>
      </w:r>
      <w:r>
        <w:rPr>
          <w:b/>
        </w:rPr>
        <w:t>投影片補充：</w:t>
      </w:r>
      <w:r>
        <w:t xml:space="preserve"> 100mg劑量組的血脂改善數據：</w:t>
      </w:r>
    </w:p>
    <w:p>
      <w:r>
        <w:t xml:space="preserve">*   LDL-C降低 </w:t>
      </w:r>
      <w:r>
        <w:rPr>
          <w:b/>
        </w:rPr>
        <w:t>-13.9%</w:t>
      </w:r>
      <w:r/>
    </w:p>
    <w:p>
      <w:r>
        <w:t xml:space="preserve">*   ApoB 100降低 </w:t>
      </w:r>
      <w:r>
        <w:rPr>
          <w:b/>
        </w:rPr>
        <w:t>-16.5%</w:t>
      </w:r>
      <w:r/>
    </w:p>
    <w:p>
      <w:r>
        <w:t xml:space="preserve">*   三酸甘油酯降低 </w:t>
      </w:r>
      <w:r>
        <w:rPr>
          <w:b/>
        </w:rPr>
        <w:t>-23.4%</w:t>
      </w:r>
      <w:r/>
    </w:p>
    <w:p>
      <w:r>
        <w:t>這些效果在80mg組中也觀察到，但幅度稍小。</w:t>
      </w:r>
    </w:p>
    <w:p/>
    <w:p>
      <w:r/>
      <w:r>
        <w:rPr>
          <w:b/>
        </w:rPr>
        <w:t>不良反應與安全性：</w:t>
      </w:r>
      <w:r/>
    </w:p>
    <w:p>
      <w:r>
        <w:t>與安慰劑組相比，Resmetirom組主要出現輕至中度的腹瀉和噁心。重要的是，它對TSH、游離T4或游離T3水平無顯著影響，但血漿反向T3水平降低。對心率、心電圖或心血管事件也無影響。</w:t>
      </w:r>
    </w:p>
    <w:p>
      <w:r>
        <w:t>[圖片不存在: slide_029_t17m30.0s_g28_hbca3d5e4.jpg]</w:t>
      </w:r>
    </w:p>
    <w:p/>
    <w:p>
      <w:pPr>
        <w:pStyle w:val="Heading4"/>
      </w:pPr>
      <w:r>
        <w:t>**FDA批准與未來展望**</w:t>
      </w:r>
    </w:p>
    <w:p/>
    <w:p>
      <w:r>
        <w:t>基於這些數據，Resmetirom已於</w:t>
      </w:r>
      <w:r>
        <w:rPr>
          <w:b/>
        </w:rPr>
        <w:t>2024年3月</w:t>
      </w:r>
      <w:r>
        <w:t>獲得美國FDA的加速批准，用於治療伴有中度至晚期肝纖維化（F2-F3期）的MASH。</w:t>
      </w:r>
    </w:p>
    <w:p>
      <w:r>
        <w:t>[圖片不存在: slide_030_t18m30.0s_g29_h940e1808.jpg]</w:t>
      </w:r>
    </w:p>
    <w:p/>
    <w:p>
      <w:r>
        <w:t xml:space="preserve">📊 </w:t>
      </w:r>
      <w:r>
        <w:rPr>
          <w:b/>
        </w:rPr>
        <w:t>投影片補充：</w:t>
      </w:r>
      <w:r>
        <w:t xml:space="preserve"> 推薦劑量為：體重≥100公斤者每日</w:t>
      </w:r>
      <w:r>
        <w:rPr>
          <w:b/>
        </w:rPr>
        <w:t>100毫克</w:t>
      </w:r>
      <w:r>
        <w:t>；體重&lt;100公斤者每日</w:t>
      </w:r>
      <w:r>
        <w:rPr>
          <w:b/>
        </w:rPr>
        <w:t>80毫克</w:t>
      </w:r>
      <w:r>
        <w:t>。若與中度CYP2C8抑制劑（如clopidogrel）同時使用，需降低劑量。</w:t>
      </w:r>
    </w:p>
    <w:p>
      <w:r>
        <w:t>[圖片不存在: slide_031_t18m40.0s_g30_hf6a8d123.jpg]</w:t>
      </w:r>
    </w:p>
    <w:p/>
    <w:p>
      <w:r>
        <w:t>未來，我們面臨的挑戰是在真實世界中識別適合治療的患者，並建立監測治療反應的指南。AASLD的實踐指南建議使用VCTE或MRE等非侵入性方法來識別患者。此外，還需要制定明確的監測計劃（如在3、6、12個月進行肝功能、甲狀腺功能和血脂檢查）以及評估治療反應的標準，以便在無效時停止這種昂貴的治療。</w:t>
      </w:r>
    </w:p>
    <w:p>
      <w:r>
        <w:t>[圖片不存在: slide_032_t19m50.0s_g31_hb22cc7c3.jpg]</w:t>
      </w:r>
    </w:p>
    <w:p>
      <w:r>
        <w:t>[圖片不存在: slide_033_t20m15.0s_g32_hb02a318b.jpg]</w:t>
      </w:r>
    </w:p>
    <w:p>
      <w:r>
        <w:t>[圖片不存在: slide_034_t20m45.0s_g33_ha62e652f.jpg]</w:t>
      </w:r>
    </w:p>
    <w:p/>
    <w:p>
      <w:pPr>
        <w:pStyle w:val="Heading4"/>
      </w:pPr>
      <w:r>
        <w:t>**結論**</w:t>
      </w:r>
    </w:p>
    <w:p/>
    <w:p>
      <w:r>
        <w:t>總結來說，MASLD是一種多系統疾病，代謝功能障礙的嚴重程度會增加心血管、腎臟及癌症風險。甲狀腺功能低下是MASLD的風險因子，其中約</w:t>
      </w:r>
      <w:r>
        <w:rPr>
          <w:b/>
        </w:rPr>
        <w:t>41%</w:t>
      </w:r>
      <w:r>
        <w:t>的風險由代謝功能障礙介導。肝臟特異性的THR-β激動劑Resmetirom為部分MASH患者提供了新的治療選擇。未來，我們迫切需要為監測和停止治療制定明確的指南。</w:t>
      </w:r>
    </w:p>
    <w:p>
      <w:r>
        <w:t>[圖片不存在: slide_035_t22m31.0s_he990d56b.jpg]</w:t>
      </w:r>
    </w:p>
    <w:p/>
    <w:p>
      <w:r>
        <w:t>---</w:t>
      </w:r>
    </w:p>
    <w:p/>
    <w:p>
      <w:pPr>
        <w:pStyle w:val="Heading3"/>
      </w:pPr>
      <w:r>
        <w:t>**第二部分：GLP-1受體激動劑與MASLD**</w:t>
      </w:r>
    </w:p>
    <w:p/>
    <w:p>
      <w:r/>
      <w:r>
        <w:rPr>
          <w:b/>
        </w:rPr>
        <w:t>演講者：</w:t>
      </w:r>
      <w:r>
        <w:t xml:space="preserve"> Arun J. Sanyal 博士 (Dr. Arun Sanyal), 維吉尼亞聯邦大學</w:t>
      </w:r>
    </w:p>
    <w:p/>
    <w:p>
      <w:pPr>
        <w:pStyle w:val="Heading4"/>
      </w:pPr>
      <w:r>
        <w:t>**引言：肝臟是受害者，MASLD是多器官疾病的一部分**</w:t>
      </w:r>
    </w:p>
    <w:p/>
    <w:p>
      <w:r>
        <w:t>肝臟在MASLD中常是肝外環境的「受害者」。即使進行肝移植，幾乎所有患者的肝臟都會再次出現脂肪堆積，這說明了疾病的系統性根源。MASLD與心血管疾病、第2型糖尿病、射血分數保留的心臟衰竭 (HFpEF) 和慢性腎病等共同構成了一個相互關聯的疾病群，其共同根源是飲食引起的肥胖所導致的代謝壓力和全身性發炎。因此，開發能夠同時應對這些相互競爭的生命威脅的療法具有重要的科學依據，而GLP-1受體激動劑 (GLP-1 RA) 正是這樣一類藥物。</w:t>
      </w:r>
    </w:p>
    <w:p>
      <w:r>
        <w:t>[圖片不存在: slide_038_t22m52.5s_g37_hbf8cc0e1.jpg]</w:t>
      </w:r>
    </w:p>
    <w:p>
      <w:r>
        <w:t>[圖片不存在: slide_039_t23m41.0s_hb0678c8c.jpg]</w:t>
      </w:r>
    </w:p>
    <w:p/>
    <w:p>
      <w:pPr>
        <w:pStyle w:val="Heading4"/>
      </w:pPr>
      <w:r>
        <w:t>**GLP-1 RA對MASLD不同階段的影響**</w:t>
      </w:r>
    </w:p>
    <w:p/>
    <w:p>
      <w:r>
        <w:t>我喜歡用一個金字塔模型來描述MASH的疾病譜。</w:t>
      </w:r>
    </w:p>
    <w:p>
      <w:r>
        <w:t>[圖片不存在: slide_040_t25m4.0s_g39_he4949829.jpg]</w:t>
      </w:r>
    </w:p>
    <w:p/>
    <w:p>
      <w:r>
        <w:t xml:space="preserve">*   </w:t>
      </w:r>
      <w:r>
        <w:rPr>
          <w:b/>
        </w:rPr>
        <w:t>金字塔底部：早期MASLD (纖維化F0-F1期)</w:t>
      </w:r>
      <w:r/>
    </w:p>
    <w:p>
      <w:r>
        <w:t>這些患者的主要死亡原因是心血管疾病和癌症。對於這個群體，早期干預至關重要。</w:t>
      </w:r>
    </w:p>
    <w:p/>
    <w:p>
      <w:r>
        <w:t xml:space="preserve">📊 </w:t>
      </w:r>
      <w:r>
        <w:rPr>
          <w:b/>
        </w:rPr>
        <w:t>投影片補充：</w:t>
      </w:r>
      <w:r>
        <w:t xml:space="preserve"> Retatrutide (一種GLP-1/GIP/胰高血糖素三重激動劑) 的肥胖試驗數據顯示，它能帶來高達</w:t>
      </w:r>
      <w:r>
        <w:rPr>
          <w:b/>
        </w:rPr>
        <w:t>24%</w:t>
      </w:r>
      <w:r>
        <w:t>的體重減輕。在一個亞組分析中，基線肝脂肪含量高的患者中，在治療6個月後，有</w:t>
      </w:r>
      <w:r>
        <w:rPr>
          <w:b/>
        </w:rPr>
        <w:t>86%</w:t>
      </w:r>
      <w:r>
        <w:t>的患者肝脂肪含量降至正常閾值以下，並且效果持續到一年。這表明，有效的GLP-1療法可以在早期階段「清除」肝臟脂肪。</w:t>
      </w:r>
    </w:p>
    <w:p>
      <w:r>
        <w:t>[圖片不存在: slide_042_t26m17.0s_he102864d.jpg]</w:t>
      </w:r>
    </w:p>
    <w:p/>
    <w:p>
      <w:r>
        <w:t xml:space="preserve">*   </w:t>
      </w:r>
      <w:r>
        <w:rPr>
          <w:b/>
        </w:rPr>
        <w:t>金字塔中部：「高風險」MASH (纖維化F2-F3期)</w:t>
      </w:r>
      <w:r/>
    </w:p>
    <w:p>
      <w:r>
        <w:t>這些患者的肝臟相關死亡風險開始顯著增加。目前所有MASH治療試驗都集中在這個群體。</w:t>
      </w:r>
    </w:p>
    <w:p/>
    <w:p>
      <w:r>
        <w:t xml:space="preserve">📊 </w:t>
      </w:r>
      <w:r>
        <w:rPr>
          <w:b/>
        </w:rPr>
        <w:t>投影片補充：</w:t>
      </w:r>
      <w:r>
        <w:t xml:space="preserve"> ESSENCE III期試驗的數據剛剛發表在《新英格蘭醫學雜誌》上。結果顯示，與安慰劑相比，Semaglutide顯著改善了兩個主要組織學終點：</w:t>
      </w:r>
    </w:p>
    <w:p>
      <w:r>
        <w:t xml:space="preserve">*   </w:t>
      </w:r>
      <w:r>
        <w:rPr>
          <w:b/>
        </w:rPr>
        <w:t>MASH緩解且纖維化無惡化：</w:t>
      </w:r>
      <w:r>
        <w:t xml:space="preserve"> Semaglutide組為</w:t>
      </w:r>
      <w:r>
        <w:rPr>
          <w:b/>
        </w:rPr>
        <w:t>62.9%</w:t>
      </w:r>
      <w:r>
        <w:t>，安慰劑組為</w:t>
      </w:r>
      <w:r>
        <w:rPr>
          <w:b/>
        </w:rPr>
        <w:t>34.1%</w:t>
      </w:r>
      <w:r>
        <w:t xml:space="preserve"> (差異</w:t>
      </w:r>
      <w:r>
        <w:rPr>
          <w:b/>
        </w:rPr>
        <w:t>28.9%</w:t>
      </w:r>
      <w:r>
        <w:t>，P &lt; 0.0001)。</w:t>
      </w:r>
    </w:p>
    <w:p>
      <w:r>
        <w:t xml:space="preserve">*   </w:t>
      </w:r>
      <w:r>
        <w:rPr>
          <w:b/>
        </w:rPr>
        <w:t>纖維化改善≥1期且MASH無惡化：</w:t>
      </w:r>
      <w:r>
        <w:t xml:space="preserve"> Semaglutide組為</w:t>
      </w:r>
      <w:r>
        <w:rPr>
          <w:b/>
        </w:rPr>
        <w:t>37.0%</w:t>
      </w:r>
      <w:r>
        <w:t>，安慰劑組為</w:t>
      </w:r>
      <w:r>
        <w:rPr>
          <w:b/>
        </w:rPr>
        <w:t>22.5%</w:t>
      </w:r>
      <w:r>
        <w:t xml:space="preserve"> (差異</w:t>
      </w:r>
      <w:r>
        <w:rPr>
          <w:b/>
        </w:rPr>
        <w:t>14.5%</w:t>
      </w:r>
      <w:r>
        <w:t>，P &lt; 0.001)。</w:t>
      </w:r>
    </w:p>
    <w:p>
      <w:r>
        <w:t>*   次要終點方面，Semaglutide組的體重減輕了</w:t>
      </w:r>
      <w:r>
        <w:rPr>
          <w:b/>
        </w:rPr>
        <w:t>-10.5%</w:t>
      </w:r>
      <w:r>
        <w:t xml:space="preserve"> (安慰劑組為-2.0%)。</w:t>
      </w:r>
    </w:p>
    <w:p>
      <w:r>
        <w:t>[圖片不存在: slide_043_t28m23.5s_g42_ha483dd34.jpg]</w:t>
      </w:r>
    </w:p>
    <w:p>
      <w:r>
        <w:t>[圖片不存在: slide_046_t30m28.5s_g45_hae1b3076.jpg]</w:t>
      </w:r>
    </w:p>
    <w:p/>
    <w:p>
      <w:r>
        <w:t xml:space="preserve">*   </w:t>
      </w:r>
      <w:r>
        <w:rPr>
          <w:b/>
        </w:rPr>
        <w:t>雙重/三重激動劑的潛力：</w:t>
      </w:r>
      <w:r/>
    </w:p>
    <w:p>
      <w:r>
        <w:t>除了Semaglutide，GLP-1/GIP雙重激動劑和GLP-1/胰高血糖素雙重激動劑也顯示出巨大潛力。</w:t>
      </w:r>
    </w:p>
    <w:p/>
    <w:p>
      <w:r>
        <w:t xml:space="preserve">📊 </w:t>
      </w:r>
      <w:r>
        <w:rPr>
          <w:b/>
        </w:rPr>
        <w:t>投影片補充：</w:t>
      </w:r>
      <w:r/>
    </w:p>
    <w:p>
      <w:r>
        <w:t xml:space="preserve">*   </w:t>
      </w:r>
      <w:r>
        <w:rPr>
          <w:b/>
        </w:rPr>
        <w:t>Tirzepatide (GLP-1/GIP)：</w:t>
      </w:r>
      <w:r>
        <w:t xml:space="preserve"> II期試驗顯示，MASH緩解率高達</w:t>
      </w:r>
      <w:r>
        <w:rPr>
          <w:b/>
        </w:rPr>
        <w:t>62.4%</w:t>
      </w:r>
      <w:r>
        <w:t>，纖維化消退率達</w:t>
      </w:r>
      <w:r>
        <w:rPr>
          <w:b/>
        </w:rPr>
        <w:t>51.0%</w:t>
      </w:r>
      <w:r>
        <w:t>。</w:t>
      </w:r>
    </w:p>
    <w:p>
      <w:r>
        <w:t>[圖片不存在: slide_047_t30m43.0s_hb8874a3c.jpg]</w:t>
      </w:r>
    </w:p>
    <w:p>
      <w:r>
        <w:t xml:space="preserve">*   </w:t>
      </w:r>
      <w:r>
        <w:rPr>
          <w:b/>
        </w:rPr>
        <w:t>Survodutide (GLP-1/Glucagon)：</w:t>
      </w:r>
      <w:r>
        <w:t xml:space="preserve"> II期試驗顯示，MASH緩解率高達</w:t>
      </w:r>
      <w:r>
        <w:rPr>
          <w:b/>
        </w:rPr>
        <w:t>83.0%</w:t>
      </w:r>
      <w:r>
        <w:t>，纖維化消退率達</w:t>
      </w:r>
      <w:r>
        <w:rPr>
          <w:b/>
        </w:rPr>
        <w:t>50.0%</w:t>
      </w:r>
      <w:r>
        <w:t>。</w:t>
      </w:r>
    </w:p>
    <w:p>
      <w:r>
        <w:t>[圖片不存在: slide_048_t31m36.0s_h8fa0d00f.jpg]</w:t>
      </w:r>
    </w:p>
    <w:p/>
    <w:p>
      <w:r>
        <w:t xml:space="preserve">*   </w:t>
      </w:r>
      <w:r>
        <w:rPr>
          <w:b/>
        </w:rPr>
        <w:t>金字塔頂部：肝硬化 (Cirrhosis)</w:t>
      </w:r>
      <w:r/>
    </w:p>
    <w:p>
      <w:r>
        <w:t>當疾病進展到肝硬化時，GLP-1 RA的效果似乎減弱。一項小型的早期試驗顯示，儘管Semaglutide在肝硬化患者中是安全的，但未能逆轉纖維化。這表明，一旦肝臟結構重塑，僅靠靶向肝外因素的藥物可能不足夠，需要結合肝臟靶向療法。</w:t>
      </w:r>
    </w:p>
    <w:p>
      <w:r>
        <w:t>[圖片不存在: slide_050_t34m45.0s_he1459971.jpg]</w:t>
      </w:r>
    </w:p>
    <w:p/>
    <w:p>
      <w:pPr>
        <w:pStyle w:val="Heading4"/>
      </w:pPr>
      <w:r>
        <w:t>**體重減輕的影響**</w:t>
      </w:r>
    </w:p>
    <w:p/>
    <w:p>
      <w:r>
        <w:t>體重減輕是GLP-1 RA故事的核心。傳統觀念是減重5%改善脂肪變性，7%改善脂肪性肝炎，10%改善纖維化。但新的臨床數據提供了更精確的目標。</w:t>
      </w:r>
    </w:p>
    <w:p/>
    <w:p>
      <w:r>
        <w:t xml:space="preserve">📊 </w:t>
      </w:r>
      <w:r>
        <w:rPr>
          <w:b/>
        </w:rPr>
        <w:t>投影片補充：</w:t>
      </w:r>
      <w:r/>
    </w:p>
    <w:p>
      <w:r>
        <w:t xml:space="preserve">*   </w:t>
      </w:r>
      <w:r>
        <w:rPr>
          <w:b/>
        </w:rPr>
        <w:t>肝臟脫脂：</w:t>
      </w:r>
      <w:r>
        <w:t xml:space="preserve"> 數據顯示，肝臟脫脂效果隨著體重減輕而增加，但在減重</w:t>
      </w:r>
      <w:r>
        <w:rPr>
          <w:b/>
        </w:rPr>
        <w:t>約20%</w:t>
      </w:r>
      <w:r>
        <w:t>時趨於平穩。大部分肝臟脫脂發生在治療的前6個月。</w:t>
      </w:r>
    </w:p>
    <w:p>
      <w:r>
        <w:t>[圖片不存在: slide_052_t35m27.5s_h8f1f966d.jpg]</w:t>
      </w:r>
    </w:p>
    <w:p>
      <w:r>
        <w:t xml:space="preserve">*   </w:t>
      </w:r>
      <w:r>
        <w:rPr>
          <w:b/>
        </w:rPr>
        <w:t>MASH緩解與纖維化消退：</w:t>
      </w:r>
      <w:r>
        <w:t xml:space="preserve"> 來自Tirzepatide試驗的數據表明，當體重減輕達到</w:t>
      </w:r>
      <w:r>
        <w:rPr>
          <w:b/>
        </w:rPr>
        <w:t>約20%</w:t>
      </w:r>
      <w:r>
        <w:t>時，MASH緩解率可達</w:t>
      </w:r>
      <w:r>
        <w:rPr>
          <w:b/>
        </w:rPr>
        <w:t>90%以上</w:t>
      </w:r>
      <w:r>
        <w:t>，纖維化消退的效果也最為顯著。</w:t>
      </w:r>
    </w:p>
    <w:p>
      <w:r>
        <w:t>[圖片不存在: slide_053_t36m27.0s_h9ca5c2a5.jpg]</w:t>
      </w:r>
    </w:p>
    <w:p>
      <w:r>
        <w:t>[圖片不存在: slide_054_t37m9.8s_h9ea1c12e.jpg]</w:t>
      </w:r>
    </w:p>
    <w:p>
      <w:r>
        <w:t xml:space="preserve">*   </w:t>
      </w:r>
      <w:r>
        <w:rPr>
          <w:b/>
        </w:rPr>
        <w:t>肝硬化的挑戰：</w:t>
      </w:r>
      <w:r>
        <w:t xml:space="preserve"> 在肝硬化試驗中，儘管患者體重減輕，但並未觀察到纖維化或MASH的改善，這再次印證了疾病進展到一定程度後治療的難度。</w:t>
      </w:r>
    </w:p>
    <w:p>
      <w:r>
        <w:t>[圖片不存在: slide_055_t37m35.0s_h8fc9e006.jpg]</w:t>
      </w:r>
    </w:p>
    <w:p/>
    <w:p>
      <w:pPr>
        <w:pStyle w:val="Heading4"/>
      </w:pPr>
      <w:r>
        <w:t>**作用機制**</w:t>
      </w:r>
    </w:p>
    <w:p/>
    <w:p>
      <w:r>
        <w:t>GLP-1 RA的作用機制是多方面的，涉及中樞神經系統、腸道、脂肪組織和免疫系統。</w:t>
      </w:r>
    </w:p>
    <w:p>
      <w:r>
        <w:t>[圖片不存在: slide_056_t38m5.8s_hed03920d.jpg]</w:t>
      </w:r>
    </w:p>
    <w:p/>
    <w:p>
      <w:r>
        <w:t xml:space="preserve">1.  </w:t>
      </w:r>
      <w:r>
        <w:rPr>
          <w:b/>
        </w:rPr>
        <w:t>腸道效應：</w:t>
      </w:r>
      <w:r>
        <w:t xml:space="preserve"> GLP-1是腸道激素，影響胃排空、腸道通透性，並可能通過改變腸道微生物組來發揮作用。研究顯示，GLP-1 RA可以改變腸道菌群的組成，如梭菌屬的富集。腸道微生物產生的代謝物（如短鏈脂肪酸、次級膽汁酸）可以進一步調節宿主代謝和免疫。</w:t>
      </w:r>
    </w:p>
    <w:p>
      <w:r>
        <w:t>[圖片不存在: slide_057_t38m13.0s_h9ee1c11e.jpg]</w:t>
      </w:r>
    </w:p>
    <w:p>
      <w:r>
        <w:t>[圖片不存在: slide_058_t39m55.0s_h84f3f300.jpg]</w:t>
      </w:r>
    </w:p>
    <w:p>
      <w:r>
        <w:t>[圖片不存在: slide_059_t39m56.2s_he3233131.jpg]</w:t>
      </w:r>
    </w:p>
    <w:p>
      <w:r>
        <w:t xml:space="preserve">2.  </w:t>
      </w:r>
      <w:r>
        <w:rPr>
          <w:b/>
        </w:rPr>
        <w:t>脂肪組織效應：</w:t>
      </w:r>
      <w:r>
        <w:t xml:space="preserve"> 內臟脂肪組織是連接體重變化和全身性發炎的關鍵。GLP-1 RA可以縮小脂肪細胞，並使肥胖狀態下失調的GLP-1受體表達正常化。</w:t>
      </w:r>
    </w:p>
    <w:p>
      <w:r>
        <w:t>[圖片不存在: slide_060_t40m47.0s_g59_hec668792.jpg]</w:t>
      </w:r>
    </w:p>
    <w:p>
      <w:r>
        <w:t xml:space="preserve">3.  </w:t>
      </w:r>
      <w:r>
        <w:rPr>
          <w:b/>
        </w:rPr>
        <w:t>抗發炎效應：</w:t>
      </w:r>
      <w:r>
        <w:t xml:space="preserve"> GLP-1 RA具有廣泛的抗發炎作用，能降低TNF-α、IL-6等發炎因子，從而「冷卻」全身的代謝發炎狀態。</w:t>
      </w:r>
    </w:p>
    <w:p>
      <w:r>
        <w:t>[圖片不存在: slide_061_t41m56.7s_hcaa55291.jpg]</w:t>
      </w:r>
    </w:p>
    <w:p/>
    <w:p>
      <w:r>
        <w:t>我將這些機制整合為一個模型：腸道效應（涉及上皮、微生物組和膽汁酸）調節神經、荷爾蒙和免疫反應，這些反應匯集到脂肪組織和肌肉，使其更有效地燃燒脂肪和葡萄糖，從而減少對其他器官的底物超載和代謝發炎反應。</w:t>
      </w:r>
    </w:p>
    <w:p>
      <w:r>
        <w:t>[圖片不存在: slide_062_t42m18.0s_g61_hea3c0d4b.jpg]</w:t>
      </w:r>
    </w:p>
    <w:p/>
    <w:p>
      <w:pPr>
        <w:pStyle w:val="Heading4"/>
      </w:pPr>
      <w:r>
        <w:t>**結論**</w:t>
      </w:r>
    </w:p>
    <w:p/>
    <w:p>
      <w:r>
        <w:t>GLP-1 RA是促進體重減輕的強效藥物，能改善脂肪性肝炎和纖維化，但在肝硬化中效果有限。基於GLP-1的雙重和三重激動劑前景廣闊。儘管可能存在不依賴體重減輕的效應，但GLP-1 RA在MASH中的大部分益處與體重減輕密切相關。體重減輕通過複雜的機制改善胰島素阻抗和全身代謝發炎，從而驅動MASH的改善。</w:t>
      </w:r>
    </w:p>
    <w:p>
      <w:r>
        <w:t>[圖片不存在: slide_063_t42m58.0s_g60_hbac5853a.jpg]</w:t>
      </w:r>
    </w:p>
    <w:p/>
    <w:p>
      <w:r>
        <w:t>---</w:t>
      </w:r>
    </w:p>
    <w:p/>
    <w:p>
      <w:r>
        <w:t>*（筆記的第三和第四部分將在後續生成）*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