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60"/>
        <w:jc w:val="center"/>
      </w:pPr>
      <w:r>
        <w:rPr>
          <w:b/>
          <w:bCs/>
          <w:color w:val="1F4E79"/>
          <w:sz w:val="26"/>
          <w:szCs w:val="26"/>
        </w:rPr>
        <w:t xml:space="preserve">DTO 5389 – Digital Transformation Technologies</w:t>
      </w:r>
    </w:p>
    <w:p>
      <w:pPr>
        <w:spacing w:after="480"/>
        <w:jc w:val="center"/>
      </w:pPr>
      <w:r>
        <w:rPr>
          <w:color w:val="1F4E79"/>
          <w:sz w:val="26"/>
          <w:szCs w:val="26"/>
        </w:rPr>
        <w:t xml:space="preserve">Assignment 2</w:t>
      </w:r>
    </w:p>
    <w:p>
      <w:pPr>
        <w:pBdr>
          <w:bottom w:val="single" w:color="1F4E79" w:sz="12" w:space="12"/>
        </w:pBdr>
        <w:spacing w:after="240"/>
        <w:jc w:val="center"/>
      </w:pPr>
      <w:r>
        <w:rPr>
          <w:b/>
          <w:bCs/>
          <w:color w:val="1A1A1A"/>
          <w:sz w:val="44"/>
          <w:szCs w:val="44"/>
        </w:rPr>
        <w:t xml:space="preserve">Predicting Term Deposit Subscriptions with AutoML</w:t>
      </w:r>
    </w:p>
    <w:p>
      <w:pPr>
        <w:spacing w:after="900"/>
      </w:pPr>
    </w:p>
    <w:p>
      <w:pPr>
        <w:spacing w:after="120"/>
        <w:jc w:val="center"/>
      </w:pPr>
      <w:r>
        <w:rPr>
          <w:b/>
          <w:bCs/>
          <w:color w:val="404040"/>
          <w:sz w:val="24"/>
          <w:szCs w:val="24"/>
        </w:rPr>
        <w:t xml:space="preserve">Student Name: </w:t>
      </w:r>
      <w:r>
        <w:rPr>
          <w:color w:val="404040"/>
          <w:sz w:val="24"/>
          <w:szCs w:val="24"/>
        </w:rPr>
        <w:t xml:space="preserve">[Student Name]</w:t>
      </w:r>
    </w:p>
    <w:p>
      <w:pPr>
        <w:spacing w:after="120"/>
        <w:jc w:val="center"/>
      </w:pPr>
      <w:r>
        <w:rPr>
          <w:b/>
          <w:bCs/>
          <w:color w:val="404040"/>
          <w:sz w:val="24"/>
          <w:szCs w:val="24"/>
        </w:rPr>
        <w:t xml:space="preserve">Student Number: </w:t>
      </w:r>
      <w:r>
        <w:rPr>
          <w:color w:val="404040"/>
          <w:sz w:val="24"/>
          <w:szCs w:val="24"/>
        </w:rPr>
        <w:t xml:space="preserve">[Student Number]</w:t>
      </w:r>
    </w:p>
    <w:p>
      <w:pPr>
        <w:spacing w:after="120"/>
        <w:jc w:val="center"/>
      </w:pPr>
      <w:r>
        <w:rPr>
          <w:b/>
          <w:bCs/>
          <w:color w:val="404040"/>
          <w:sz w:val="24"/>
          <w:szCs w:val="24"/>
        </w:rPr>
        <w:t xml:space="preserve">Date: </w:t>
      </w:r>
      <w:r>
        <w:rPr>
          <w:color w:val="404040"/>
          <w:sz w:val="24"/>
          <w:szCs w:val="24"/>
        </w:rPr>
        <w:t xml:space="preserve">[Date]</w:t>
      </w:r>
    </w:p>
    <w:p>
      <w:pPr>
        <w:spacing w:after="900"/>
      </w:pPr>
    </w:p>
    <w:p>
      <w:pPr>
        <w:spacing w:after="120"/>
        <w:jc w:val="center"/>
      </w:pPr>
      <w:r>
        <w:rPr>
          <w:b/>
          <w:bCs/>
          <w:color w:val="404040"/>
          <w:sz w:val="20"/>
          <w:szCs w:val="20"/>
        </w:rPr>
        <w:t xml:space="preserve">Dataset: </w:t>
      </w:r>
      <w:r>
        <w:rPr>
          <w:color w:val="404040"/>
          <w:sz w:val="20"/>
          <w:szCs w:val="20"/>
        </w:rPr>
        <w:t xml:space="preserve">UCI Bank Marketing, </w:t>
      </w:r>
      <w:r>
        <w:rPr>
          <w:rFonts w:ascii="Consolas" w:cs="Consolas" w:eastAsia="Consolas" w:hAnsi="Consolas"/>
          <w:color w:val="404040"/>
          <w:sz w:val="18"/>
          <w:szCs w:val="18"/>
        </w:rPr>
        <w:t xml:space="preserve">bank-additional-full.csv</w:t>
      </w:r>
      <w:r>
        <w:rPr>
          <w:color w:val="404040"/>
          <w:sz w:val="20"/>
          <w:szCs w:val="20"/>
        </w:rPr>
        <w:t xml:space="preserve"> (Moro et al., 2014)</w:t>
      </w:r>
    </w:p>
    <w:p>
      <w:pPr>
        <w:spacing w:after="120"/>
        <w:jc w:val="center"/>
      </w:pPr>
      <w:r>
        <w:rPr>
          <w:b/>
          <w:bCs/>
          <w:color w:val="404040"/>
          <w:sz w:val="20"/>
          <w:szCs w:val="20"/>
        </w:rPr>
        <w:t xml:space="preserve">Tools: </w:t>
      </w:r>
      <w:r>
        <w:rPr>
          <w:color w:val="404040"/>
          <w:sz w:val="20"/>
          <w:szCs w:val="20"/>
        </w:rPr>
        <w:t xml:space="preserve">Python 3.13, pandas, scikit-learn (Pedregosa et al., 2011), FLAML 2.7, LightGBM, XGBoost</w:t>
      </w:r>
    </w:p>
    <w:p>
      <w:r>
        <w:br w:type="page"/>
      </w:r>
    </w:p>
    <w:p>
      <w:pPr>
        <w:pStyle w:val="Heading1"/>
        <w:keepNext/>
      </w:pPr>
      <w:r>
        <w:t xml:space="preserve">1. Executive Summary and Objective</w:t>
      </w:r>
    </w:p>
    <w:p>
      <w:pPr>
        <w:keepNext w:val="false"/>
        <w:spacing w:after="100"/>
        <w:jc w:val="both"/>
      </w:pPr>
      <w:r>
        <w:t xml:space="preserve">A Portuguese bank ran telephone campaigns (May 2008 – November 2010) to sell term deposits, and only </w:t>
      </w:r>
      <w:r>
        <w:rPr>
          <w:b/>
          <w:bCs/>
        </w:rPr>
        <w:t xml:space="preserve">11.3% of contacted clients subscribed</w:t>
      </w:r>
      <w:r>
        <w:t xml:space="preserve"> (Moro et al., 2014). The objective is a classifier that ranks clients by subscription probability </w:t>
      </w:r>
      <w:r>
        <w:rPr>
          <w:b/>
          <w:bCs/>
        </w:rPr>
        <w:t xml:space="preserve">before they are called</w:t>
      </w:r>
      <w:r>
        <w:t xml:space="preserve">, so the call centre can focus its capacity. The 11.3% imbalance was addressed with stratified splits, ROC-AUC optimisation, PR-AUC reporting and decision-threshold tuning.</w:t>
      </w:r>
    </w:p>
    <w:p>
      <w:pPr>
        <w:keepNext w:val="false"/>
        <w:spacing w:after="100"/>
        <w:jc w:val="both"/>
      </w:pPr>
      <w:r>
        <w:t xml:space="preserve">FLAML (Wang et al., 2021) selected a </w:t>
      </w:r>
      <w:r>
        <w:rPr>
          <w:b/>
          <w:bCs/>
        </w:rPr>
        <w:t xml:space="preserve">LightGBM</w:t>
      </w:r>
      <w:r>
        <w:t xml:space="preserve"> model with a test </w:t>
      </w:r>
      <w:r>
        <w:rPr>
          <w:b/>
          <w:bCs/>
        </w:rPr>
        <w:t xml:space="preserve">ROC-AUC of 0.810</w:t>
      </w:r>
      <w:r>
        <w:t xml:space="preserve"> and </w:t>
      </w:r>
      <w:r>
        <w:rPr>
          <w:b/>
          <w:bCs/>
        </w:rPr>
        <w:t xml:space="preserve">PR-AUC of 0.479</w:t>
      </w:r>
      <w:r>
        <w:t xml:space="preserve"> (4.3× the 0.113 baseline). Calling the top-scored </w:t>
      </w:r>
      <w:r>
        <w:rPr>
          <w:b/>
          <w:bCs/>
        </w:rPr>
        <w:t xml:space="preserve">20% of clients reaches 67% of all subscribers</w:t>
      </w:r>
      <w:r>
        <w:t xml:space="preserve">, a 3.4× lift over random calling. A benchmark that also used call </w:t>
      </w:r>
      <w:r>
        <w:rPr>
          <w:rFonts w:ascii="Consolas" w:cs="Consolas" w:eastAsia="Consolas" w:hAnsi="Consolas"/>
          <w:sz w:val="20"/>
          <w:szCs w:val="20"/>
        </w:rPr>
        <w:t xml:space="preserve">duration</w:t>
      </w:r>
      <w:r>
        <w:t xml:space="preserve"> scored ROC-AUC 0.953, but duration is only known after a call ends; the 0.143 gap measures how much leakage would overstate performance.</w:t>
      </w:r>
    </w:p>
    <w:p>
      <w:pPr>
        <w:pStyle w:val="Heading1"/>
        <w:keepNext/>
      </w:pPr>
      <w:r>
        <w:t xml:space="preserve">2. Environment, Data Import and Cleaning</w:t>
      </w:r>
    </w:p>
    <w:p>
      <w:pPr>
        <w:keepNext w:val="false"/>
        <w:spacing w:after="100"/>
        <w:jc w:val="both"/>
      </w:pPr>
      <w:r>
        <w:t xml:space="preserve">The project uses a virtual environment with pinned dependencies, a verification script (</w:t>
      </w:r>
      <w:r>
        <w:rPr>
          <w:rFonts w:ascii="Consolas" w:cs="Consolas" w:eastAsia="Consolas" w:hAnsi="Consolas"/>
          <w:sz w:val="20"/>
          <w:szCs w:val="20"/>
        </w:rPr>
        <w:t xml:space="preserve">scripts/verify_env.py</w:t>
      </w:r>
      <w:r>
        <w:t xml:space="preserve">), and three scripts that regenerate every result (</w:t>
      </w:r>
      <w:r>
        <w:rPr>
          <w:rFonts w:ascii="Consolas" w:cs="Consolas" w:eastAsia="Consolas" w:hAnsi="Consolas"/>
          <w:sz w:val="20"/>
          <w:szCs w:val="20"/>
        </w:rPr>
        <w:t xml:space="preserve">src/data_preprocessing.py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src/eda_visualization.py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src/train_and_evaluate.py</w:t>
      </w:r>
      <w:r>
        <w:t xml:space="preserve">). The semicolon-delimited file loaded with the documented </w:t>
      </w:r>
      <w:r>
        <w:rPr>
          <w:b/>
          <w:bCs/>
        </w:rPr>
        <w:t xml:space="preserve">41,188 rows × 21 columns</w:t>
      </w:r>
      <w:r>
        <w:t xml:space="preserve">, the expected column names and types, and no </w:t>
      </w:r>
      <w:r>
        <w:rPr>
          <w:rFonts w:ascii="Consolas" w:cs="Consolas" w:eastAsia="Consolas" w:hAnsi="Consolas"/>
          <w:sz w:val="20"/>
          <w:szCs w:val="20"/>
        </w:rPr>
        <w:t xml:space="preserve">NaN</w:t>
      </w:r>
      <w:r>
        <w:t xml:space="preserve">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Treatment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Exact duplicates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12 rows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Removed → </w:t>
            </w:r>
            <w:r>
              <w:rPr>
                <w:b/>
                <w:bCs/>
                <w:sz w:val="19"/>
                <w:szCs w:val="19"/>
              </w:rPr>
              <w:t xml:space="preserve">41,176 rows</w:t>
            </w:r>
            <w:r>
              <w:rPr>
                <w:sz w:val="19"/>
                <w:szCs w:val="19"/>
              </w:rPr>
              <w:t xml:space="preserve"> (prevents train/test leakage)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unknown</w:t>
            </w:r>
            <w:r>
              <w:rPr>
                <w:sz w:val="19"/>
                <w:szCs w:val="19"/>
              </w:rPr>
              <w:t xml:space="preserve"> values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6 columns; 26.0% of rows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Kept as an informative category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Outliers (IQR rule)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Age &gt; 69.5, campaign &gt; 6, long calls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Kept: plausible values; trees are scale-robust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pdays = 999</w:t>
            </w:r>
            <w:r>
              <w:rPr>
                <w:sz w:val="19"/>
                <w:szCs w:val="19"/>
              </w:rPr>
              <w:t xml:space="preserve"> sentinel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9"/>
                <w:szCs w:val="19"/>
              </w:rPr>
              <w:t xml:space="preserve">96.3% of rows (real values 0–27)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9"/>
                <w:szCs w:val="19"/>
              </w:rPr>
              <w:t xml:space="preserve">Kept raw; added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previously_contacted</w:t>
            </w:r>
          </w:p>
        </w:tc>
      </w:tr>
    </w:tbl>
    <w:p>
      <w:pPr>
        <w:spacing w:after="60"/>
      </w:pPr>
    </w:p>
    <w:p>
      <w:pPr>
        <w:keepNext/>
        <w:spacing w:after="1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unknown</w:t>
      </w:r>
      <w:r>
        <w:t xml:space="preserve"> is informative rather than random: clients with </w:t>
      </w:r>
      <w:r>
        <w:rPr>
          <w:rFonts w:ascii="Consolas" w:cs="Consolas" w:eastAsia="Consolas" w:hAnsi="Consolas"/>
          <w:sz w:val="20"/>
          <w:szCs w:val="20"/>
        </w:rPr>
        <w:t xml:space="preserve">default = unknown</w:t>
      </w:r>
      <w:r>
        <w:t xml:space="preserve"> subscribe at 5.2% versus 12.9% for </w:t>
      </w:r>
      <w:r>
        <w:rPr>
          <w:rFonts w:ascii="Consolas" w:cs="Consolas" w:eastAsia="Consolas" w:hAnsi="Consolas"/>
          <w:sz w:val="20"/>
          <w:szCs w:val="20"/>
        </w:rPr>
        <w:t xml:space="preserve">no</w:t>
      </w:r>
      <w:r>
        <w:t xml:space="preserve">, a signal imputation would erase. Cleaning also revealed </w:t>
      </w:r>
      <w:r>
        <w:rPr>
          <w:b/>
          <w:bCs/>
        </w:rPr>
        <w:t xml:space="preserve">4,110 clients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pdays = 999</w:t>
      </w:r>
      <w:r>
        <w:t xml:space="preserve"> ("never contacted") but </w:t>
      </w:r>
      <w:r>
        <w:rPr>
          <w:rFonts w:ascii="Consolas" w:cs="Consolas" w:eastAsia="Consolas" w:hAnsi="Consolas"/>
          <w:sz w:val="20"/>
          <w:szCs w:val="20"/>
        </w:rPr>
        <w:t xml:space="preserve">previous &gt; 0</w:t>
      </w:r>
      <w:r>
        <w:t xml:space="preserve">, so the engineered flag uses both columns:</w:t>
      </w:r>
    </w:p>
    <w:p>
      <w:pPr>
        <w:keepNext/>
        <w:keepLines/>
        <w:pBdr>
          <w:top w:val="single" w:color="D0D0D0" w:sz="4" w:space="4"/>
          <w:left w:val="single" w:color="D0D0D0" w:sz="4" w:space="4"/>
          <w:right w:val="single" w:color="D0D0D0" w:sz="4" w:space="4"/>
        </w:pBdr>
        <w:shd w:fill="F3F3F3" w:color="auto" w:val="clear"/>
        <w:spacing w:after="0" w:before="80"/>
      </w:pPr>
      <w:r>
        <w:rPr>
          <w:rFonts w:ascii="Consolas" w:cs="Consolas" w:eastAsia="Consolas" w:hAnsi="Consolas"/>
          <w:sz w:val="17"/>
          <w:szCs w:val="17"/>
        </w:rPr>
        <w:t xml:space="preserve">df = pd.read_csv("data/raw/bank-additional-full.csv", sep=";")       # 41,188 x 21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df = df.drop_duplicates(keep="first").reset_index(drop=True)         # -12 rows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df["previously_contacted"] = ((df["pdays"] != 999) | (df["previous"] &gt; 0)).astype(int)</w:t>
      </w:r>
    </w:p>
    <w:p>
      <w:pPr>
        <w:keepNext w:val="false"/>
        <w:keepLines/>
        <w:pBdr>
          <w:bottom w:val="single" w:color="D0D0D0" w:sz="4" w:space="4"/>
          <w:left w:val="single" w:color="D0D0D0" w:sz="4" w:space="4"/>
          <w:right w:val="single" w:color="D0D0D0" w:sz="4" w:space="4"/>
        </w:pBdr>
        <w:shd w:fill="F3F3F3" w:color="auto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df["y"] = df["y"].map({"no": 0, "yes": 1})</w:t>
      </w:r>
    </w:p>
    <w:p>
      <w:pPr>
        <w:pStyle w:val="Heading1"/>
        <w:keepNext/>
      </w:pPr>
      <w:r>
        <w:t xml:space="preserve">3. Exploratory Data Analysis and Feature Insights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40480" cy="1930014"/>
            <wp:effectExtent t="0" r="0" b="0" l="0"/>
            <wp:docPr id="1" name="01_target_distribution.png" descr="Figure 1. Class balance: 4,639 subscribers out of 41,176 (11.3%)." title="Figure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93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04040"/>
          <w:sz w:val="19"/>
          <w:szCs w:val="19"/>
        </w:rPr>
        <w:t xml:space="preserve">Figure 1. </w:t>
      </w:r>
      <w:r>
        <w:rPr>
          <w:i/>
          <w:iCs/>
          <w:color w:val="404040"/>
          <w:sz w:val="19"/>
          <w:szCs w:val="19"/>
        </w:rPr>
        <w:t xml:space="preserve">Class balance: 4,639 subscribers out of 41,176 (11.3%).</w:t>
      </w:r>
    </w:p>
    <w:p>
      <w:pPr>
        <w:keepNext w:val="false"/>
        <w:spacing w:after="100"/>
        <w:jc w:val="both"/>
      </w:pPr>
      <w:r>
        <w:t xml:space="preserve">Predicting "no" for everyone already scores 88.7% accuracy (Figure 1), so accuracy cannot guide model selection.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657600" cy="3407819"/>
            <wp:effectExtent t="0" r="0" b="0" l="0"/>
            <wp:docPr id="1" name="02_correlation_heatmap.png" descr="Figure 2. Correlations among numeric features and the target." title="Figure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4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04040"/>
          <w:sz w:val="19"/>
          <w:szCs w:val="19"/>
        </w:rPr>
        <w:t xml:space="preserve">Figure 2. </w:t>
      </w:r>
      <w:r>
        <w:rPr>
          <w:i/>
          <w:iCs/>
          <w:color w:val="404040"/>
          <w:sz w:val="19"/>
          <w:szCs w:val="19"/>
        </w:rPr>
        <w:t xml:space="preserve">Correlations among numeric features and the target.</w:t>
      </w:r>
    </w:p>
    <w:p>
      <w:pPr>
        <w:keepNext w:val="false"/>
        <w:spacing w:after="100"/>
        <w:jc w:val="both"/>
      </w:pPr>
      <w:r>
        <w:t xml:space="preserve">The strongest linear associations with </w:t>
      </w:r>
      <w:r>
        <w:rPr>
          <w:rFonts w:ascii="Consolas" w:cs="Consolas" w:eastAsia="Consolas" w:hAnsi="Consolas"/>
          <w:sz w:val="20"/>
          <w:szCs w:val="20"/>
        </w:rPr>
        <w:t xml:space="preserve">y</w:t>
      </w:r>
      <w:r>
        <w:t xml:space="preserve"> are </w:t>
      </w:r>
      <w:r>
        <w:rPr>
          <w:rFonts w:ascii="Consolas" w:cs="Consolas" w:eastAsia="Consolas" w:hAnsi="Consolas"/>
          <w:sz w:val="20"/>
          <w:szCs w:val="20"/>
        </w:rPr>
        <w:t xml:space="preserve">duration</w:t>
      </w:r>
      <w:r>
        <w:t xml:space="preserve"> (r = +0.41), </w:t>
      </w:r>
      <w:r>
        <w:rPr>
          <w:rFonts w:ascii="Consolas" w:cs="Consolas" w:eastAsia="Consolas" w:hAnsi="Consolas"/>
          <w:sz w:val="20"/>
          <w:szCs w:val="20"/>
        </w:rPr>
        <w:t xml:space="preserve">nr.employed</w:t>
      </w:r>
      <w:r>
        <w:t xml:space="preserve"> (−0.35) and </w:t>
      </w:r>
      <w:r>
        <w:rPr>
          <w:rFonts w:ascii="Consolas" w:cs="Consolas" w:eastAsia="Consolas" w:hAnsi="Consolas"/>
          <w:sz w:val="20"/>
          <w:szCs w:val="20"/>
        </w:rPr>
        <w:t xml:space="preserve">euribor3m</w:t>
      </w:r>
      <w:r>
        <w:t xml:space="preserve"> (−0.31) (Figure 2). The macroeconomic indicators are highly collinear (</w:t>
      </w:r>
      <w:r>
        <w:rPr>
          <w:rFonts w:ascii="Consolas" w:cs="Consolas" w:eastAsia="Consolas" w:hAnsi="Consolas"/>
          <w:sz w:val="20"/>
          <w:szCs w:val="20"/>
        </w:rPr>
        <w:t xml:space="preserve">emp.var.rate</w:t>
      </w:r>
      <w:r>
        <w:t xml:space="preserve">–</w:t>
      </w:r>
      <w:r>
        <w:rPr>
          <w:rFonts w:ascii="Consolas" w:cs="Consolas" w:eastAsia="Consolas" w:hAnsi="Consolas"/>
          <w:sz w:val="20"/>
          <w:szCs w:val="20"/>
        </w:rPr>
        <w:t xml:space="preserve">euribor3m</w:t>
      </w:r>
      <w:r>
        <w:t xml:space="preserve"> r = 0.97; </w:t>
      </w:r>
      <w:r>
        <w:rPr>
          <w:rFonts w:ascii="Consolas" w:cs="Consolas" w:eastAsia="Consolas" w:hAnsi="Consolas"/>
          <w:sz w:val="20"/>
          <w:szCs w:val="20"/>
        </w:rPr>
        <w:t xml:space="preserve">euribor3m</w:t>
      </w:r>
      <w:r>
        <w:t xml:space="preserve">–</w:t>
      </w:r>
      <w:r>
        <w:rPr>
          <w:rFonts w:ascii="Consolas" w:cs="Consolas" w:eastAsia="Consolas" w:hAnsi="Consolas"/>
          <w:sz w:val="20"/>
          <w:szCs w:val="20"/>
        </w:rPr>
        <w:t xml:space="preserve">nr.employed</w:t>
      </w:r>
      <w:r>
        <w:t xml:space="preserve"> 0.95), which destabilises linear coefficients and splits importance across columns but does not harm tree ensembles.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20640" cy="4025309"/>
            <wp:effectExtent t="0" r="0" b="0" l="0"/>
            <wp:docPr id="1" name="03_categorical_conversion_rates.png" descr="Figure 3. Subscription rate by job, education, previous outcome and prior contact." title="Figure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02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04040"/>
          <w:sz w:val="19"/>
          <w:szCs w:val="19"/>
        </w:rPr>
        <w:t xml:space="preserve">Figure 3. </w:t>
      </w:r>
      <w:r>
        <w:rPr>
          <w:i/>
          <w:iCs/>
          <w:color w:val="404040"/>
          <w:sz w:val="19"/>
          <w:szCs w:val="19"/>
        </w:rPr>
        <w:t xml:space="preserve">Subscription rate by job, education, previous outcome and prior contact.</w:t>
      </w:r>
    </w:p>
    <w:p>
      <w:pPr>
        <w:keepNext w:val="false"/>
        <w:spacing w:after="100"/>
        <w:jc w:val="both"/>
      </w:pPr>
      <w:r>
        <w:t xml:space="preserve">A previous campaign success lifts conversion to </w:t>
      </w:r>
      <w:r>
        <w:rPr>
          <w:b/>
          <w:bCs/>
        </w:rPr>
        <w:t xml:space="preserve">65.1%</w:t>
      </w:r>
      <w:r>
        <w:t xml:space="preserve">, and any prior contact triples it (26.6% vs 8.8%). Students (31.4%) and retirees (25.3%) respond most; blue-collar workers (6.9%) least (Figure 3).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69280" cy="4073585"/>
            <wp:effectExtent t="0" r="0" b="0" l="0"/>
            <wp:docPr id="1" name="04_duration_and_economics.png" descr="Figure 4. Call duration vs outcome (a–b); subscription by Euribor and employment variation (c–d)." title="Figure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0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04040"/>
          <w:sz w:val="19"/>
          <w:szCs w:val="19"/>
        </w:rPr>
        <w:t xml:space="preserve">Figure 4. </w:t>
      </w:r>
      <w:r>
        <w:rPr>
          <w:i/>
          <w:iCs/>
          <w:color w:val="404040"/>
          <w:sz w:val="19"/>
          <w:szCs w:val="19"/>
        </w:rPr>
        <w:t xml:space="preserve">Call duration vs outcome (a–b); subscription by Euribor and employment variation (c–d).</w:t>
      </w:r>
    </w:p>
    <w:p>
      <w:pPr>
        <w:keepNext w:val="false"/>
        <w:spacing w:after="100"/>
        <w:jc w:val="both"/>
      </w:pPr>
      <w:r>
        <w:t xml:space="preserve">Conversion climbs from 0% for calls under a minute to 59% for calls over 17 minutes, a classic leakage signature. In the lowest Euribor quintile 29.7% subscribed versus 3.6–5.5% in the top three (Figure 4); because these indicators vary by contact date, they act as time-period effects. </w:t>
      </w:r>
      <w:r>
        <w:rPr>
          <w:b/>
          <w:bCs/>
        </w:rPr>
        <w:t xml:space="preserve">Age is non-linear</w:t>
      </w:r>
      <w:r>
        <w:t xml:space="preserve">: its correlation is only r = +0.03, yet conversion is U-shaped (24.0% at ≤ 24, 8.6% at 45–54, 47.3% over 65), which favours tree-based learners.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2"/>
        <w:gridCol w:w="2097"/>
        <w:gridCol w:w="3066"/>
        <w:gridCol w:w="1615"/>
      </w:tblGrid>
      <w:tr>
        <w:trPr>
          <w:cantSplit/>
          <w:tblHeader/>
        </w:trPr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Numeric feature</w:t>
            </w:r>
          </w:p>
        </w:tc>
        <w:tc>
          <w:tcPr>
            <w:tcW w:type="dxa" w:w="2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ROC-AUC alone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Categorical feature</w:t>
            </w:r>
          </w:p>
        </w:tc>
        <w:tc>
          <w:tcPr>
            <w:tcW w:type="dxa" w:w="1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Cramér's V</w:t>
            </w:r>
          </w:p>
        </w:tc>
      </w:tr>
      <w:tr>
        <w:trPr>
          <w:cantSplit/>
          <w:tblHeader w:val="false"/>
        </w:trPr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duration</w:t>
            </w:r>
            <w:r>
              <w:rPr>
                <w:sz w:val="19"/>
                <w:szCs w:val="19"/>
              </w:rPr>
              <w:t xml:space="preserve"> (leaky)</w:t>
            </w:r>
          </w:p>
        </w:tc>
        <w:tc>
          <w:tcPr>
            <w:tcW w:type="dxa" w:w="2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0.818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poutcome</w:t>
            </w:r>
          </w:p>
        </w:tc>
        <w:tc>
          <w:tcPr>
            <w:tcW w:type="dxa" w:w="1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0.321</w:t>
            </w:r>
          </w:p>
        </w:tc>
      </w:tr>
      <w:tr>
        <w:trPr>
          <w:cantSplit/>
          <w:tblHeader w:val="false"/>
        </w:trPr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nr.employed</w:t>
            </w:r>
          </w:p>
        </w:tc>
        <w:tc>
          <w:tcPr>
            <w:tcW w:type="dxa" w:w="2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0.749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month</w:t>
            </w:r>
          </w:p>
        </w:tc>
        <w:tc>
          <w:tcPr>
            <w:tcW w:type="dxa" w:w="1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0.275</w:t>
            </w:r>
          </w:p>
        </w:tc>
      </w:tr>
      <w:tr>
        <w:trPr>
          <w:cantSplit/>
          <w:tblHeader w:val="false"/>
        </w:trPr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euribor3m</w:t>
            </w:r>
          </w:p>
        </w:tc>
        <w:tc>
          <w:tcPr>
            <w:tcW w:type="dxa" w:w="2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0.743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</w:t>
            </w:r>
          </w:p>
        </w:tc>
        <w:tc>
          <w:tcPr>
            <w:tcW w:type="dxa" w:w="1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0.153</w:t>
            </w:r>
          </w:p>
        </w:tc>
      </w:tr>
      <w:tr>
        <w:trPr>
          <w:cantSplit/>
          <w:tblHeader w:val="false"/>
        </w:trPr>
        <w:tc>
          <w:tcPr>
            <w:tcW w:type="dxa" w:w="2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emp.var.rate</w:t>
            </w:r>
          </w:p>
        </w:tc>
        <w:tc>
          <w:tcPr>
            <w:tcW w:type="dxa" w:w="2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9"/>
                <w:szCs w:val="19"/>
              </w:rPr>
              <w:t xml:space="preserve">0.717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contact</w:t>
            </w:r>
          </w:p>
        </w:tc>
        <w:tc>
          <w:tcPr>
            <w:tcW w:type="dxa" w:w="1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9"/>
                <w:szCs w:val="19"/>
              </w:rPr>
              <w:t xml:space="preserve">0.145</w:t>
            </w:r>
          </w:p>
        </w:tc>
      </w:tr>
    </w:tbl>
    <w:p>
      <w:pPr>
        <w:spacing w:after="60"/>
      </w:pPr>
    </w:p>
    <w:p>
      <w:pPr>
        <w:keepNext w:val="false"/>
        <w:spacing w:after="1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housing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loan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day_of_week</w:t>
      </w:r>
      <w:r>
        <w:t xml:space="preserve"> show almost no association (V ≤ 0.025).</w:t>
      </w:r>
    </w:p>
    <w:p>
      <w:pPr>
        <w:pStyle w:val="Heading1"/>
        <w:keepNext/>
      </w:pPr>
      <w:r>
        <w:t xml:space="preserve">4. AutoML Methodology and Pipeline Configuration</w:t>
      </w:r>
    </w:p>
    <w:p>
      <w:pPr>
        <w:keepNext w:val="false"/>
        <w:spacing w:after="100"/>
        <w:jc w:val="both"/>
      </w:pPr>
      <w:r>
        <w:rPr>
          <w:b/>
          <w:bCs/>
        </w:rPr>
        <w:t xml:space="preserve">FLAML over PyCaret.</w:t>
      </w:r>
      <w:r>
        <w:t xml:space="preserve"> PyCaret's released versions did not support the project's Python 3.13 at the time of writing; FLAML installed cleanly, is lightweight with a scikit-learn-style API, and its cost-aware CFO search (Wu et al., 2021) makes a short fixed budget productive.</w:t>
      </w:r>
    </w:p>
    <w:p>
      <w:pPr>
        <w:keepNext w:val="false"/>
        <w:spacing w:after="100"/>
        <w:jc w:val="both"/>
      </w:pPr>
      <w:r>
        <w:rPr>
          <w:b/>
          <w:bCs/>
        </w:rPr>
        <w:t xml:space="preserve">Configuration.</w:t>
      </w:r>
      <w:r>
        <w:t xml:space="preserve"> ROC-AUC was optimised because it measures </w:t>
      </w:r>
      <w:r>
        <w:rPr>
          <w:i/>
          <w:iCs/>
        </w:rPr>
        <w:t xml:space="preserve">ranking</w:t>
      </w:r>
      <w:r>
        <w:t xml:space="preserve"> quality independently of the threshold and class ratio, matching the "whom to call first" decision; PR-AUC was also reported as it is more informative under imbalance (Saito &amp; Rehmsmeier, 2015). Candidates were scored with </w:t>
      </w:r>
      <w:r>
        <w:rPr>
          <w:b/>
          <w:bCs/>
        </w:rPr>
        <w:t xml:space="preserve">5-fold stratified cross-validation</w:t>
      </w:r>
      <w:r>
        <w:t xml:space="preserve"> on the 80% training split; the stratified 20% test split (</w:t>
      </w:r>
      <w:r>
        <w:rPr>
          <w:rFonts w:ascii="Consolas" w:cs="Consolas" w:eastAsia="Consolas" w:hAnsi="Consolas"/>
          <w:sz w:val="20"/>
          <w:szCs w:val="20"/>
        </w:rPr>
        <w:t xml:space="preserve">random_state = 42</w:t>
      </w:r>
      <w:r>
        <w:t xml:space="preserve">) was never used in the search. The search covered LightGBM (Ke et al., 2017), XGBoost (Chen &amp; Guestrin, 2016), random forest and logistic regression, with 180 seconds per model.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duration</w:t>
      </w:r>
      <w:r>
        <w:rPr>
          <w:b/>
          <w:bCs/>
        </w:rPr>
        <w:t xml:space="preserve"> was explicitly excluded</w:t>
      </w:r>
      <w:r>
        <w:t xml:space="preserve"> from the primary model; an identical benchmark retaining it measures the leakage effect (Kaufman et al., 2012).</w:t>
      </w:r>
    </w:p>
    <w:p>
      <w:pPr>
        <w:keepNext/>
        <w:keepLines/>
        <w:pBdr>
          <w:top w:val="single" w:color="D0D0D0" w:sz="4" w:space="4"/>
          <w:left w:val="single" w:color="D0D0D0" w:sz="4" w:space="4"/>
          <w:right w:val="single" w:color="D0D0D0" w:sz="4" w:space="4"/>
        </w:pBdr>
        <w:shd w:fill="F3F3F3" w:color="auto" w:val="clear"/>
        <w:spacing w:after="0" w:before="80"/>
      </w:pPr>
      <w:r>
        <w:rPr>
          <w:rFonts w:ascii="Consolas" w:cs="Consolas" w:eastAsia="Consolas" w:hAnsi="Consolas"/>
          <w:sz w:val="17"/>
          <w:szCs w:val="17"/>
        </w:rPr>
        <w:t xml:space="preserve">features = [c for c in df.columns if c not in ("y", "duration")]   # no leakage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automl = AutoML()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automl.add_learner("lr", ScaledLogisticRegression)                  # custom learner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automl.fit(X_train[features], y_train, task="classification", metric="roc_auc",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eval_method="cv", n_splits=5, split_type="stratified",</w:t>
      </w:r>
    </w:p>
    <w:p>
      <w:pPr>
        <w:keepNext w:val="false"/>
        <w:keepLines/>
        <w:pBdr>
          <w:bottom w:val="single" w:color="D0D0D0" w:sz="4" w:space="4"/>
          <w:left w:val="single" w:color="D0D0D0" w:sz="4" w:space="4"/>
          <w:right w:val="single" w:color="D0D0D0" w:sz="4" w:space="4"/>
        </w:pBdr>
        <w:shd w:fill="F3F3F3" w:color="auto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estimator_list=["lgbm", "xgboost", "rf", "lr"], time_budget=180, seed=42)</w:t>
      </w:r>
    </w:p>
    <w:p>
      <w:pPr>
        <w:keepNext/>
        <w:spacing w:after="100"/>
        <w:jc w:val="both"/>
      </w:pPr>
      <w:r>
        <w:t xml:space="preserve">FLAML's built-in logistic regression integer-codes categories without scaling, an unfair linear baseline, so a custom learner wraps one-hot encoding and standardisation:</w:t>
      </w:r>
    </w:p>
    <w:p>
      <w:pPr>
        <w:keepNext/>
        <w:keepLines/>
        <w:pBdr>
          <w:top w:val="single" w:color="D0D0D0" w:sz="4" w:space="4"/>
          <w:left w:val="single" w:color="D0D0D0" w:sz="4" w:space="4"/>
          <w:right w:val="single" w:color="D0D0D0" w:sz="4" w:space="4"/>
        </w:pBdr>
        <w:shd w:fill="F3F3F3" w:color="auto" w:val="clear"/>
        <w:spacing w:after="0" w:before="80"/>
      </w:pPr>
      <w:r>
        <w:rPr>
          <w:rFonts w:ascii="Consolas" w:cs="Consolas" w:eastAsia="Consolas" w:hAnsi="Consolas"/>
          <w:sz w:val="17"/>
          <w:szCs w:val="17"/>
        </w:rPr>
        <w:t xml:space="preserve">class ScaledLogisticRegression(SKLearnEstimator):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@classmethod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def search_space(cls, data_size, task, **params):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return {"C": {"domain": tune.loguniform(1e-3, 1e3), "init_value": 1.0}}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task="binary", **config):</w:t>
      </w:r>
    </w:p>
    <w:p>
      <w:pPr>
        <w:keepNext/>
        <w:keepLines/>
        <w:pBdr>
          <w:left w:val="single" w:color="D0D0D0" w:sz="4" w:space="4"/>
          <w:right w:val="single" w:color="D0D0D0" w:sz="4" w:space="4"/>
        </w:pBdr>
        <w:shd w:fill="F3F3F3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super().__init__(task, **config)</w:t>
      </w:r>
    </w:p>
    <w:p>
      <w:pPr>
        <w:keepNext w:val="false"/>
        <w:keepLines/>
        <w:pBdr>
          <w:bottom w:val="single" w:color="D0D0D0" w:sz="4" w:space="4"/>
          <w:left w:val="single" w:color="D0D0D0" w:sz="4" w:space="4"/>
          <w:right w:val="single" w:color="D0D0D0" w:sz="4" w:space="4"/>
        </w:pBdr>
        <w:shd w:fill="F3F3F3" w:color="auto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        self.estimator_class = OneHotLogisticRegression  # one-hot + scaling + LR</w:t>
      </w:r>
    </w:p>
    <w:p>
      <w:pPr>
        <w:keepNext w:val="false"/>
        <w:spacing w:after="100"/>
        <w:jc w:val="both"/>
      </w:pPr>
      <w:r>
        <w:t xml:space="preserve">Because probabilities rarely exceed 0.5 at an 11% base rate, the F1-maximising threshold (</w:t>
      </w:r>
      <w:r>
        <w:rPr>
          <w:b/>
          <w:bCs/>
        </w:rPr>
        <w:t xml:space="preserve">0.202</w:t>
      </w:r>
      <w:r>
        <w:t xml:space="preserve">) was chosen from out-of-fold predictions on the training set, keeping the test set untouched.</w:t>
      </w:r>
    </w:p>
    <w:p>
      <w:pPr>
        <w:pStyle w:val="Heading1"/>
        <w:keepNext/>
      </w:pPr>
      <w:r>
        <w:t xml:space="preserve">5. Model Evaluation and Comparison</w:t>
      </w:r>
    </w:p>
    <w:p>
      <w:pPr>
        <w:keepNext/>
        <w:spacing w:after="100"/>
        <w:jc w:val="both"/>
      </w:pPr>
      <w:r>
        <w:t xml:space="preserve">FLAML selected </w:t>
      </w:r>
      <w:r>
        <w:rPr>
          <w:b/>
          <w:bCs/>
        </w:rPr>
        <w:t xml:space="preserve">LightGBM</w:t>
      </w:r>
      <w:r>
        <w:t xml:space="preserve"> (CV ROC-AUC 0.802): 1,240 shallow trees (</w:t>
      </w:r>
      <w:r>
        <w:rPr>
          <w:rFonts w:ascii="Consolas" w:cs="Consolas" w:eastAsia="Consolas" w:hAnsi="Consolas"/>
          <w:sz w:val="20"/>
          <w:szCs w:val="20"/>
        </w:rPr>
        <w:t xml:space="preserve">num_leaves</w:t>
      </w:r>
      <w:r>
        <w:t xml:space="preserve"> = 4), learning rate 0.098 and strong L2 regularisation (</w:t>
      </w:r>
      <w:r>
        <w:rPr>
          <w:rFonts w:ascii="Consolas" w:cs="Consolas" w:eastAsia="Consolas" w:hAnsi="Consolas"/>
          <w:sz w:val="20"/>
          <w:szCs w:val="20"/>
        </w:rPr>
        <w:t xml:space="preserve">reg_lambda</w:t>
      </w:r>
      <w:r>
        <w:t xml:space="preserve"> = 38.4). The duration benchmark selected </w:t>
      </w:r>
      <w:r>
        <w:rPr>
          <w:b/>
          <w:bCs/>
        </w:rPr>
        <w:t xml:space="preserve">XGBoost</w:t>
      </w:r>
      <w:r>
        <w:t xml:space="preserve"> (CV ROC-AUC 0.949). Test results (8,236 clients, 928 subscribers):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9"/>
        <w:gridCol w:w="946"/>
        <w:gridCol w:w="841"/>
        <w:gridCol w:w="946"/>
        <w:gridCol w:w="946"/>
        <w:gridCol w:w="631"/>
        <w:gridCol w:w="631"/>
        <w:gridCol w:w="736"/>
        <w:gridCol w:w="634"/>
      </w:tblGrid>
      <w:tr>
        <w:trPr>
          <w:cantSplit/>
          <w:tblHeader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Threshold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Accuracy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Bal. Acc.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Precision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Recall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F1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ROC-AUC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PR-AUC</w:t>
            </w:r>
          </w:p>
        </w:tc>
      </w:tr>
      <w:tr>
        <w:trPr>
          <w:cantSplit/>
          <w:tblHeader w:val="false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Primary LightGBM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0.5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0.899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0.614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0.636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0.247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0.356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0.810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0.479</w:t>
            </w:r>
          </w:p>
        </w:tc>
      </w:tr>
      <w:tr>
        <w:trPr>
          <w:cantSplit/>
          <w:tblHeader w:val="false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Primary LightGBM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0.202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0.880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0.758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0.474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0.601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0.530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0.810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0.479</w:t>
            </w:r>
          </w:p>
        </w:tc>
      </w:tr>
      <w:tr>
        <w:trPr>
          <w:cantSplit/>
          <w:tblHeader w:val="false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Benchmark XGBoost (+duration)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0.5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0.919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0.765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0.665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0.566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0.612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0.953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6"/>
                <w:szCs w:val="16"/>
              </w:rPr>
              <w:t xml:space="preserve">0.675</w:t>
            </w:r>
          </w:p>
        </w:tc>
      </w:tr>
      <w:tr>
        <w:trPr>
          <w:cantSplit/>
          <w:tblHeader w:val="false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Benchmark XGBoost (+duration)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0.326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0.911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0.854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0.577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0.780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0.664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0.953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6"/>
                <w:szCs w:val="16"/>
              </w:rPr>
              <w:t xml:space="preserve">0.675</w:t>
            </w:r>
          </w:p>
        </w:tc>
      </w:tr>
    </w:tbl>
    <w:p>
      <w:pPr>
        <w:spacing w:after="60"/>
      </w:pPr>
    </w:p>
    <w:p>
      <w:pPr>
        <w:keepNext w:val="false"/>
        <w:spacing w:after="100"/>
        <w:jc w:val="both"/>
      </w:pPr>
      <w:r>
        <w:t xml:space="preserve">Test ROC-AUC (0.810) closely matches the CV estimate (0.802), so the search did not overfit.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566160" cy="3394428"/>
            <wp:effectExtent t="0" r="0" b="0" l="0"/>
            <wp:docPr id="1" name="05_confusion_matrices.png" descr="Figure 5. Confusion matrices at the default and tuned thresholds." title="Figure 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39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04040"/>
          <w:sz w:val="19"/>
          <w:szCs w:val="19"/>
        </w:rPr>
        <w:t xml:space="preserve">Figure 5. </w:t>
      </w:r>
      <w:r>
        <w:rPr>
          <w:i/>
          <w:iCs/>
          <w:color w:val="404040"/>
          <w:sz w:val="19"/>
          <w:szCs w:val="19"/>
        </w:rPr>
        <w:t xml:space="preserve">Confusion matrices at the default and tuned thresholds.</w:t>
      </w:r>
    </w:p>
    <w:p>
      <w:pPr>
        <w:keepNext w:val="false"/>
        <w:spacing w:after="100"/>
        <w:jc w:val="both"/>
      </w:pPr>
      <w:r>
        <w:t xml:space="preserve">At 0.5 the primary model finds only 24.7% of subscribers; at 0.202 it finds </w:t>
      </w:r>
      <w:r>
        <w:rPr>
          <w:b/>
          <w:bCs/>
        </w:rPr>
        <w:t xml:space="preserve">60.1%</w:t>
      </w:r>
      <w:r>
        <w:t xml:space="preserve">, i.e. 329 more subscribers for 487 extra calls (Figure 5). F1 rises from 0.356 to 0.530 while accuracy </w:t>
      </w:r>
      <w:r>
        <w:rPr>
          <w:i/>
          <w:iCs/>
        </w:rPr>
        <w:t xml:space="preserve">falls</w:t>
      </w:r>
      <w:r>
        <w:t xml:space="preserve"> slightly, again showing why accuracy misleads.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522310"/>
            <wp:effectExtent t="0" r="0" b="0" l="0"/>
            <wp:docPr id="1" name="06_roc_pr_curves.png" descr="Figure 6. Test ROC and precision–recall curves with no-skill baselines." title="Figure 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04040"/>
          <w:sz w:val="19"/>
          <w:szCs w:val="19"/>
        </w:rPr>
        <w:t xml:space="preserve">Figure 6. </w:t>
      </w:r>
      <w:r>
        <w:rPr>
          <w:i/>
          <w:iCs/>
          <w:color w:val="404040"/>
          <w:sz w:val="19"/>
          <w:szCs w:val="19"/>
        </w:rPr>
        <w:t xml:space="preserve">Test ROC and precision–recall curves with no-skill baselines.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931920" cy="2798150"/>
            <wp:effectExtent t="0" r="0" b="0" l="0"/>
            <wp:docPr id="1" name="07_feature_importance.png" descr="Figure 7. Permutation importance (drop in test ROC-AUC) for the primary model." title="Figure 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79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04040"/>
          <w:sz w:val="19"/>
          <w:szCs w:val="19"/>
        </w:rPr>
        <w:t xml:space="preserve">Figure 7. </w:t>
      </w:r>
      <w:r>
        <w:rPr>
          <w:i/>
          <w:iCs/>
          <w:color w:val="404040"/>
          <w:sz w:val="19"/>
          <w:szCs w:val="19"/>
        </w:rPr>
        <w:t xml:space="preserve">Permutation importance (drop in test ROC-AUC) for the primary model.</w:t>
      </w:r>
    </w:p>
    <w:p>
      <w:pPr>
        <w:keepNext w:val="false"/>
        <w:spacing w:after="100"/>
        <w:jc w:val="both"/>
      </w:pPr>
      <w:r>
        <w:t xml:space="preserve">The precision–recall curve stays well above the 0.113 baseline at every recall level (Figure 6). The top drivers are </w:t>
      </w:r>
      <w:r>
        <w:rPr>
          <w:rFonts w:ascii="Consolas" w:cs="Consolas" w:eastAsia="Consolas" w:hAnsi="Consolas"/>
          <w:sz w:val="20"/>
          <w:szCs w:val="20"/>
        </w:rPr>
        <w:t xml:space="preserve">emp.var.rate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nr.employed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euribor3m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contact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month</w:t>
      </w:r>
      <w:r>
        <w:t xml:space="preserve"> (Figure 7); because the macro indicators are collinear, each understates the group's combined importance.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54880" cy="2713263"/>
            <wp:effectExtent t="0" r="0" b="0" l="0"/>
            <wp:docPr id="1" name="08_leakage_comparison.png" descr="Figure 8. Realistic primary model vs leaky benchmark." title="Figure 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71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404040"/>
          <w:sz w:val="19"/>
          <w:szCs w:val="19"/>
        </w:rPr>
        <w:t xml:space="preserve">Figure 8. </w:t>
      </w:r>
      <w:r>
        <w:rPr>
          <w:i/>
          <w:iCs/>
          <w:color w:val="404040"/>
          <w:sz w:val="19"/>
          <w:szCs w:val="19"/>
        </w:rPr>
        <w:t xml:space="preserve">Realistic primary model vs leaky benchmark.</w:t>
      </w:r>
    </w:p>
    <w:p>
      <w:pPr>
        <w:keepNext w:val="false"/>
        <w:spacing w:after="100"/>
        <w:jc w:val="both"/>
      </w:pPr>
      <w:r>
        <w:t xml:space="preserve">Adding </w:t>
      </w:r>
      <w:r>
        <w:rPr>
          <w:rFonts w:ascii="Consolas" w:cs="Consolas" w:eastAsia="Consolas" w:hAnsi="Consolas"/>
          <w:sz w:val="20"/>
          <w:szCs w:val="20"/>
        </w:rPr>
        <w:t xml:space="preserve">duration</w:t>
      </w:r>
      <w:r>
        <w:t xml:space="preserve"> raises ROC-AUC by 0.143 and PR-AUC by 0.196 (Figure 8), and it becomes the benchmark's most important feature (shuffling it costs 0.226 ROC-AUC). That performance is unattainable in practice, since call length is unknown when choosing whom to call.</w:t>
      </w:r>
    </w:p>
    <w:p>
      <w:pPr>
        <w:keepNext/>
        <w:spacing w:after="100"/>
        <w:jc w:val="both"/>
      </w:pPr>
      <w:r>
        <w:rPr>
          <w:b/>
          <w:bCs/>
        </w:rPr>
        <w:t xml:space="preserve">Business interpretation.</w:t>
      </w:r>
      <w:r>
        <w:t xml:space="preserve"> Calling clients in score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5"/>
        <w:gridCol w:w="1950"/>
        <w:gridCol w:w="3705"/>
        <w:gridCol w:w="1170"/>
      </w:tblGrid>
      <w:tr>
        <w:trPr>
          <w:cantSplit/>
          <w:tblHeader/>
        </w:trPr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Call the top…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Conversion</w:t>
            </w:r>
          </w:p>
        </w:tc>
        <w:tc>
          <w:tcPr>
            <w:tcW w:type="dxa" w:w="3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Subscribers reached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Lift</w:t>
            </w:r>
          </w:p>
        </w:tc>
      </w:tr>
      <w:tr>
        <w:trPr>
          <w:cantSplit/>
          <w:tblHeader w:val="false"/>
        </w:trPr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51.3%</w:t>
            </w:r>
          </w:p>
        </w:tc>
        <w:tc>
          <w:tcPr>
            <w:tcW w:type="dxa" w:w="3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45.6%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sz w:val="19"/>
                <w:szCs w:val="19"/>
              </w:rPr>
              <w:t xml:space="preserve">4.6×</w:t>
            </w:r>
          </w:p>
        </w:tc>
      </w:tr>
      <w:tr>
        <w:trPr>
          <w:cantSplit/>
          <w:tblHeader w:val="false"/>
        </w:trPr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37.8%</w:t>
            </w:r>
          </w:p>
        </w:tc>
        <w:tc>
          <w:tcPr>
            <w:tcW w:type="dxa" w:w="3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67.0%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3.4×</w:t>
            </w:r>
          </w:p>
        </w:tc>
      </w:tr>
      <w:tr>
        <w:trPr>
          <w:cantSplit/>
          <w:tblHeader w:val="false"/>
        </w:trPr>
        <w:tc>
          <w:tcPr>
            <w:tcW w:type="dxa" w:w="2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9"/>
                <w:szCs w:val="19"/>
              </w:rPr>
              <w:t xml:space="preserve">27.7%</w:t>
            </w:r>
          </w:p>
        </w:tc>
        <w:tc>
          <w:tcPr>
            <w:tcW w:type="dxa" w:w="3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9"/>
                <w:szCs w:val="19"/>
              </w:rPr>
              <w:t xml:space="preserve">73.8%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sz w:val="19"/>
                <w:szCs w:val="19"/>
              </w:rPr>
              <w:t xml:space="preserve">2.5×</w:t>
            </w:r>
          </w:p>
        </w:tc>
      </w:tr>
    </w:tbl>
    <w:p>
      <w:pPr>
        <w:spacing w:after="60"/>
      </w:pPr>
    </w:p>
    <w:p>
      <w:pPr>
        <w:keepNext w:val="false"/>
        <w:spacing w:after="100"/>
        <w:jc w:val="both"/>
      </w:pPr>
      <w:r>
        <w:t xml:space="preserve">The top 20% captures two-thirds of subscribers with </w:t>
      </w:r>
      <w:r>
        <w:rPr>
          <w:b/>
          <w:bCs/>
        </w:rPr>
        <w:t xml:space="preserve">80% fewer calls</w:t>
      </w:r>
      <w:r>
        <w:t xml:space="preserve">. Errors are asymmetric: a false positive costs minutes of agent time, a false negative forfeits a deposit's margin. When capacity allows, the threshold should sit below 0.202; for instance, if a successful call nets ten times what an unsuccessful one costs, calling pays off whenever p &gt; 1/11 ≈ 0.09.</w:t>
      </w:r>
    </w:p>
    <w:p>
      <w:pPr>
        <w:pStyle w:val="Heading1"/>
        <w:keepNext/>
      </w:pPr>
      <w:r>
        <w:t xml:space="preserve">6. Critical Analysis of AutoML</w:t>
      </w:r>
    </w:p>
    <w:p>
      <w:pPr>
        <w:keepNext w:val="false"/>
        <w:spacing w:after="100"/>
        <w:jc w:val="both"/>
      </w:pPr>
      <w:r>
        <w:t xml:space="preserve">AutoML automates model selection and hyperparameter optimisation so practitioners can concentrate on problem formulation (Hutter et al., 2019; He et al., 2021). This project shows both its value and its limits.</w:t>
      </w:r>
    </w:p>
    <w:p>
      <w:pPr>
        <w:keepNext w:val="false"/>
        <w:spacing w:after="100"/>
        <w:jc w:val="both"/>
      </w:pPr>
      <w:r>
        <w:rPr>
          <w:b/>
          <w:bCs/>
        </w:rPr>
        <w:t xml:space="preserve">Strengths.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Rapid, broad exploration.</w:t>
      </w:r>
      <w:r>
        <w:t xml:space="preserve"> In 180 seconds FLAML evaluated 65–101 cross-validated configurations across four model families and found a non-obvious optimum (1,240 depth-limited, heavily regularised trees). CV and test ROC-AUC agreed (0.802 vs 0.810).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Automated, consistent validation.</w:t>
      </w:r>
      <w:r>
        <w:t xml:space="preserve"> Every candidate used the same stratified folds, metric and data, eliminating errors such as tuning on the test set, and producing an auditable trial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Reduced selection bias.</w:t>
      </w:r>
      <w:r>
        <w:t xml:space="preserve"> Algorithm choice followed measured performance rather than analyst preference, with compute spent efficiently by the cost-aware search.</w:t>
      </w:r>
    </w:p>
    <w:p>
      <w:pPr>
        <w:spacing w:after="40"/>
      </w:pPr>
    </w:p>
    <w:p>
      <w:pPr>
        <w:keepNext w:val="false"/>
        <w:spacing w:after="100"/>
        <w:jc w:val="both"/>
      </w:pPr>
      <w:r>
        <w:rPr>
          <w:b/>
          <w:bCs/>
        </w:rPr>
        <w:t xml:space="preserve">Limitations.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Blind optimisation without domain awareness.</w:t>
      </w:r>
      <w:r>
        <w:t xml:space="preserve"> Given </w:t>
      </w:r>
      <w:r>
        <w:rPr>
          <w:rFonts w:ascii="Consolas" w:cs="Consolas" w:eastAsia="Consolas" w:hAnsi="Consolas"/>
          <w:sz w:val="20"/>
          <w:szCs w:val="20"/>
        </w:rPr>
        <w:t xml:space="preserve">duration</w:t>
      </w:r>
      <w:r>
        <w:t xml:space="preserve">, FLAML used it immediately and reported ROC-AUC 0.953 for a model that cannot be deployed. Detecting leakage required human understanding of how the data is generated; AutoML automates search, not problem formulation.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Wall-clock bias between algorithms.</w:t>
      </w:r>
      <w:r>
        <w:t xml:space="preserve"> With a time budget, fast learners receive more trials. In the final run LightGBM had 41 trials while XGBoost and logistic regression had 2 each; in an earlier run XGBoost had 35 and finished within 0.002 of LightGBM. Algorithm rankings from one run partly reflect training speed, and slower learners' scores are lower bounds.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Defaults and objectives still need expert review.</w:t>
      </w:r>
      <w:r>
        <w:t xml:space="preserve"> Trial counts varied between runs (the selected model was stable), the default logistic regression had to be corrected, and FLAML optimised ROC-AUC while threshold, error costs and capacity remained manual decisions.</w:t>
      </w:r>
    </w:p>
    <w:p>
      <w:pPr>
        <w:spacing w:after="40"/>
      </w:pPr>
    </w:p>
    <w:p>
      <w:pPr>
        <w:pStyle w:val="Heading1"/>
        <w:keepNext/>
      </w:pPr>
      <w:r>
        <w:t xml:space="preserve">7. Limitations and Recommendations for Digital Transformation</w:t>
      </w:r>
    </w:p>
    <w:p>
      <w:pPr>
        <w:keepNext/>
        <w:spacing w:after="100"/>
        <w:jc w:val="both"/>
      </w:pPr>
      <w:r>
        <w:t xml:space="preserve">The data covers one bank during the 2008–2010 crisis, the evaluation used a random rather than time-ordered split, and probabilities were not calibrated. Recommendations: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Deploy as a pre-campaign scoring service</w:t>
      </w:r>
      <w:r>
        <w:t xml:space="preserve"> in the CRM that produces ranked call lists, with the model, feature list and threshold versioned together (</w:t>
      </w:r>
      <w:r>
        <w:rPr>
          <w:rFonts w:ascii="Consolas" w:cs="Consolas" w:eastAsia="Consolas" w:hAnsi="Consolas"/>
          <w:sz w:val="20"/>
          <w:szCs w:val="20"/>
        </w:rPr>
        <w:t xml:space="preserve">models/model_metadata.json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Monitor macroeconomic regime shifts.</w:t>
      </w:r>
      <w:r>
        <w:t xml:space="preserve"> Predictions lean on </w:t>
      </w:r>
      <w:r>
        <w:rPr>
          <w:rFonts w:ascii="Consolas" w:cs="Consolas" w:eastAsia="Consolas" w:hAnsi="Consolas"/>
          <w:sz w:val="20"/>
          <w:szCs w:val="20"/>
        </w:rPr>
        <w:t xml:space="preserve">euribor3m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emp.var.rate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nr.employed</w:t>
      </w:r>
      <w:r>
        <w:t xml:space="preserve">; track input drift (e.g. population stability index) and live conversion, and retrain when rates or employment leave the training range.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Tune the threshold to call-centre capacity and economics</w:t>
      </w:r>
      <w:r>
        <w:t xml:space="preserve">, after calibrating probabilities, so the call list matches available agents and the cost–margin trade-off.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Validate prospectively and govern responsibly:</w:t>
      </w:r>
      <w:r>
        <w:t xml:space="preserve"> pilot model-ranked calling against current practice, adopt time-based validation, and review age-based targeting against fair-treatment rules.</w:t>
      </w:r>
    </w:p>
    <w:p>
      <w:pPr>
        <w:spacing w:after="40"/>
      </w:pPr>
    </w:p>
    <w:p>
      <w:pPr>
        <w:pStyle w:val="Heading1"/>
        <w:keepNext/>
      </w:pPr>
      <w:r>
        <w:t xml:space="preserve">8. References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Chen, T., &amp; Guestrin, C. (2016). XGBoost: A scalable tree boosting system. In </w:t>
      </w:r>
      <w:r>
        <w:rPr>
          <w:i/>
          <w:iCs/>
          <w:sz w:val="20"/>
          <w:szCs w:val="20"/>
        </w:rPr>
        <w:t xml:space="preserve">Proceedings of the 22nd ACM SIGKDD International Conference on Knowledge Discovery and Data Mining</w:t>
      </w:r>
      <w:r>
        <w:rPr>
          <w:sz w:val="20"/>
          <w:szCs w:val="20"/>
        </w:rPr>
        <w:t xml:space="preserve"> (pp. 785–794). https://doi.org/10.1145/2939672.2939785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He, X., Zhao, K., &amp; Chu, X. (2021). AutoML: A survey of the state-of-the-art. </w:t>
      </w:r>
      <w:r>
        <w:rPr>
          <w:i/>
          <w:iCs/>
          <w:sz w:val="20"/>
          <w:szCs w:val="20"/>
        </w:rPr>
        <w:t xml:space="preserve">Knowledge-Based Systems, 212</w:t>
      </w:r>
      <w:r>
        <w:rPr>
          <w:sz w:val="20"/>
          <w:szCs w:val="20"/>
        </w:rPr>
        <w:t xml:space="preserve">, 106622. https://doi.org/10.1016/j.knosys.2020.106622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Hutter, F., Kotthoff, L., &amp; Vanschoren, J. (Eds.). (2019). </w:t>
      </w:r>
      <w:r>
        <w:rPr>
          <w:i/>
          <w:iCs/>
          <w:sz w:val="20"/>
          <w:szCs w:val="20"/>
        </w:rPr>
        <w:t xml:space="preserve">Automated machine learning: Methods, systems, challenges</w:t>
      </w:r>
      <w:r>
        <w:rPr>
          <w:sz w:val="20"/>
          <w:szCs w:val="20"/>
        </w:rPr>
        <w:t xml:space="preserve">. Springer. https://doi.org/10.1007/978-3-030-05318-5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Kaufman, S., Rosset, S., Perlich, C., &amp; Stitelman, O. (2012). Leakage in data mining: Formulation, detection, and avoidance. </w:t>
      </w:r>
      <w:r>
        <w:rPr>
          <w:i/>
          <w:iCs/>
          <w:sz w:val="20"/>
          <w:szCs w:val="20"/>
        </w:rPr>
        <w:t xml:space="preserve">ACM Transactions on Knowledge Discovery from Data, 6</w:t>
      </w:r>
      <w:r>
        <w:rPr>
          <w:sz w:val="20"/>
          <w:szCs w:val="20"/>
        </w:rPr>
        <w:t xml:space="preserve">(4), Article 15. https://doi.org/10.1145/2382577.2382579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Ke, G., Meng, Q., Finley, T., Wang, T., Chen, W., Ma, W., Ye, Q., &amp; Liu, T.-Y. (2017). LightGBM: A highly efficient gradient boosting decision tree. In </w:t>
      </w:r>
      <w:r>
        <w:rPr>
          <w:i/>
          <w:iCs/>
          <w:sz w:val="20"/>
          <w:szCs w:val="20"/>
        </w:rPr>
        <w:t xml:space="preserve">Advances in Neural Information Processing Systems 30</w:t>
      </w:r>
      <w:r>
        <w:rPr>
          <w:sz w:val="20"/>
          <w:szCs w:val="20"/>
        </w:rPr>
        <w:t xml:space="preserve"> (pp. 3146–3154).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Moro, S., Cortez, P., &amp; Rita, P. (2014). A data-driven approach to predict the success of bank telemarketing. </w:t>
      </w:r>
      <w:r>
        <w:rPr>
          <w:i/>
          <w:iCs/>
          <w:sz w:val="20"/>
          <w:szCs w:val="20"/>
        </w:rPr>
        <w:t xml:space="preserve">Decision Support Systems, 62</w:t>
      </w:r>
      <w:r>
        <w:rPr>
          <w:sz w:val="20"/>
          <w:szCs w:val="20"/>
        </w:rPr>
        <w:t xml:space="preserve">, 22–31. https://doi.org/10.1016/j.dss.2014.03.001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Moro, S., Rita, P., &amp; Cortez, P. (2014). </w:t>
      </w:r>
      <w:r>
        <w:rPr>
          <w:i/>
          <w:iCs/>
          <w:sz w:val="20"/>
          <w:szCs w:val="20"/>
        </w:rPr>
        <w:t xml:space="preserve">Bank marketing</w:t>
      </w:r>
      <w:r>
        <w:rPr>
          <w:sz w:val="20"/>
          <w:szCs w:val="20"/>
        </w:rPr>
        <w:t xml:space="preserve"> [Data set]. UCI Machine Learning Repository. https://doi.org/10.24432/C5K306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i/>
          <w:iCs/>
          <w:sz w:val="20"/>
          <w:szCs w:val="20"/>
        </w:rPr>
        <w:t xml:space="preserve">Journal of Machine Learning Research, 12</w:t>
      </w:r>
      <w:r>
        <w:rPr>
          <w:sz w:val="20"/>
          <w:szCs w:val="20"/>
        </w:rPr>
        <w:t xml:space="preserve">, 2825–2830.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Saito, T., &amp; Rehmsmeier, M. (2015). The precision-recall plot is more informative than the ROC plot when evaluating binary classifiers on imbalanced datasets. </w:t>
      </w:r>
      <w:r>
        <w:rPr>
          <w:i/>
          <w:iCs/>
          <w:sz w:val="20"/>
          <w:szCs w:val="20"/>
        </w:rPr>
        <w:t xml:space="preserve">PLoS ONE, 10</w:t>
      </w:r>
      <w:r>
        <w:rPr>
          <w:sz w:val="20"/>
          <w:szCs w:val="20"/>
        </w:rPr>
        <w:t xml:space="preserve">(3), e0118432. https://doi.org/10.1371/journal.pone.0118432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Wang, C., Wu, Q., Weimer, M., &amp; Zhu, E. (2021). FLAML: A fast and lightweight AutoML library. In </w:t>
      </w:r>
      <w:r>
        <w:rPr>
          <w:i/>
          <w:iCs/>
          <w:sz w:val="20"/>
          <w:szCs w:val="20"/>
        </w:rPr>
        <w:t xml:space="preserve">Proceedings of Machine Learning and Systems 3</w:t>
      </w:r>
      <w:r>
        <w:rPr>
          <w:sz w:val="20"/>
          <w:szCs w:val="20"/>
        </w:rPr>
        <w:t xml:space="preserve"> (pp. 434–447).</w:t>
      </w:r>
    </w:p>
    <w:p>
      <w:pPr>
        <w:spacing w:after="100"/>
        <w:ind w:left="720" w:hanging="720"/>
      </w:pPr>
      <w:r>
        <w:rPr>
          <w:sz w:val="20"/>
          <w:szCs w:val="20"/>
        </w:rPr>
        <w:t xml:space="preserve">Wu, Q., Wang, C., &amp; Huang, S. (2021). Frugal optimization for cost-related hyperparameters. In </w:t>
      </w:r>
      <w:r>
        <w:rPr>
          <w:i/>
          <w:iCs/>
          <w:sz w:val="20"/>
          <w:szCs w:val="20"/>
        </w:rPr>
        <w:t xml:space="preserve">Proceedings of the AAAI Conference on Artificial Intelligence, 35</w:t>
      </w:r>
      <w:r>
        <w:rPr>
          <w:sz w:val="20"/>
          <w:szCs w:val="20"/>
        </w:rPr>
        <w:t xml:space="preserve">(12), 10347–10354. https://doi.org/10.1609/aaai.v35i12.17239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DTO 5389 · Assignment 2 · Predicting Term Deposit Subscriptions with AutoML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f28241f867dd4accd73fe92655bbe328f38b5c61.png"/><Relationship Id="rId12" Type="http://schemas.openxmlformats.org/officeDocument/2006/relationships/image" Target="media/df517646d5e7c984e71876fdf528b9bf2e8baa6d.png"/><Relationship Id="rId13" Type="http://schemas.openxmlformats.org/officeDocument/2006/relationships/image" Target="media/e9a05181bc77d177737050520a1bbdcb67a76478.png"/><Relationship Id="rId14" Type="http://schemas.openxmlformats.org/officeDocument/2006/relationships/image" Target="media/57f07730b2b7e9088dbdd45c9c3347e2b445add3.png"/><Relationship Id="rId15" Type="http://schemas.openxmlformats.org/officeDocument/2006/relationships/image" Target="media/61daab656b29764c81524f1b5265049ccc9a278f.png"/><Relationship Id="rId16" Type="http://schemas.openxmlformats.org/officeDocument/2006/relationships/image" Target="media/c9e4dde2b51164303e637e82ed6234336c81b5d5.png"/><Relationship Id="rId17" Type="http://schemas.openxmlformats.org/officeDocument/2006/relationships/image" Target="media/4745ad71f90a3ea04c0a8174c189e1bde2bb13c0.png"/><Relationship Id="rId18" Type="http://schemas.openxmlformats.org/officeDocument/2006/relationships/image" Target="media/71fad6a1d7437b016affa27573840000f9405ee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Term Deposit Subscriptions with AutoML</dc:title>
  <dc:creator>DTO 5389 student</dc:creator>
  <dc:description>Assignment 2 – AutoML classification report</dc:description>
  <cp:lastModifiedBy>Un-named</cp:lastModifiedBy>
  <cp:revision>1</cp:revision>
  <dcterms:created xsi:type="dcterms:W3CDTF">2026-10-17T21:02:51.426Z</dcterms:created>
  <dcterms:modified xsi:type="dcterms:W3CDTF">2026-10-17T21:02:51.426Z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