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8D897" w14:textId="77777777" w:rsidR="00D657FB" w:rsidRPr="001439C4" w:rsidRDefault="00D657FB" w:rsidP="00D657FB">
      <w:pPr>
        <w:spacing w:line="480" w:lineRule="auto"/>
        <w:rPr>
          <w:rFonts w:ascii="Times New Roman" w:hAnsi="Times New Roman" w:cs="Times New Roman"/>
          <w:smallCaps/>
          <w:color w:val="000000" w:themeColor="text1"/>
        </w:rPr>
      </w:pPr>
      <w:r w:rsidRPr="001439C4">
        <w:rPr>
          <w:rFonts w:ascii="Times New Roman" w:hAnsi="Times New Roman" w:cs="Times New Roman"/>
          <w:smallCaps/>
          <w:color w:val="000000" w:themeColor="text1"/>
        </w:rPr>
        <w:t>Appendix S</w:t>
      </w:r>
      <w:r>
        <w:rPr>
          <w:rFonts w:ascii="Times New Roman" w:hAnsi="Times New Roman" w:cs="Times New Roman"/>
          <w:smallCaps/>
          <w:color w:val="000000" w:themeColor="text1"/>
        </w:rPr>
        <w:t>5</w:t>
      </w:r>
    </w:p>
    <w:p w14:paraId="10934B0B" w14:textId="200041B7" w:rsidR="00363D6E" w:rsidRDefault="00D657FB" w:rsidP="00D657FB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439C4">
        <w:rPr>
          <w:rFonts w:ascii="Times New Roman" w:hAnsi="Times New Roman" w:cs="Times New Roman"/>
          <w:i/>
          <w:color w:val="000000" w:themeColor="text1"/>
        </w:rPr>
        <w:t xml:space="preserve">Evaluating hypothesis </w:t>
      </w:r>
      <w:proofErr w:type="gramStart"/>
      <w:r w:rsidRPr="001439C4">
        <w:rPr>
          <w:rFonts w:ascii="Times New Roman" w:hAnsi="Times New Roman" w:cs="Times New Roman"/>
          <w:i/>
          <w:color w:val="000000" w:themeColor="text1"/>
        </w:rPr>
        <w:t>support.—</w:t>
      </w:r>
      <w:proofErr w:type="gramEnd"/>
      <w:r w:rsidRPr="001439C4">
        <w:rPr>
          <w:rFonts w:ascii="Times New Roman" w:hAnsi="Times New Roman" w:cs="Times New Roman"/>
          <w:color w:val="000000" w:themeColor="text1"/>
        </w:rPr>
        <w:t>To determine the support for each of the host-pathogen coexistence hypotheses (e.g., source-sink, rescue, hotspots), we compared the posterior distributions</w:t>
      </w:r>
      <w:r w:rsidRPr="001439C4">
        <w:rPr>
          <w:rFonts w:ascii="Times New Roman"/>
          <w:color w:val="000000" w:themeColor="text1"/>
        </w:rPr>
        <w:t xml:space="preserve"> of parameters of interest (Fig. 1</w:t>
      </w:r>
      <w:r>
        <w:rPr>
          <w:rFonts w:ascii="Times New Roman"/>
          <w:color w:val="000000" w:themeColor="text1"/>
        </w:rPr>
        <w:t xml:space="preserve"> in main text</w:t>
      </w:r>
      <w:r w:rsidRPr="001439C4">
        <w:rPr>
          <w:rFonts w:ascii="Times New Roman"/>
          <w:color w:val="000000" w:themeColor="text1"/>
        </w:rPr>
        <w:t>) by computing the proportion of MCMC draws from the posterior distribution where one parameter was greater than the other (</w:t>
      </w:r>
      <w:r w:rsidRPr="001439C4">
        <w:rPr>
          <w:rFonts w:ascii="Times New Roman" w:hAnsi="Times New Roman" w:cs="Times New Roman"/>
          <w:color w:val="000000" w:themeColor="text1"/>
        </w:rPr>
        <w:t>Ruiz-Gutiérrez</w:t>
      </w:r>
      <w:r w:rsidRPr="001439C4">
        <w:rPr>
          <w:rFonts w:ascii="Times New Roman"/>
          <w:color w:val="000000" w:themeColor="text1"/>
        </w:rPr>
        <w:t xml:space="preserve"> </w:t>
      </w:r>
      <w:r w:rsidRPr="001439C4">
        <w:rPr>
          <w:rFonts w:ascii="Times New Roman"/>
          <w:i/>
          <w:color w:val="000000" w:themeColor="text1"/>
        </w:rPr>
        <w:t>et al.</w:t>
      </w:r>
      <w:r w:rsidRPr="001439C4">
        <w:rPr>
          <w:rFonts w:ascii="Times New Roman"/>
          <w:color w:val="000000" w:themeColor="text1"/>
        </w:rPr>
        <w:t xml:space="preserve"> 2010). These estimates can be interpreted as direct probabilities. Extreme proportions (i.e., </w:t>
      </w:r>
      <w:r w:rsidRPr="001439C4">
        <w:rPr>
          <w:rFonts w:ascii="Times New Roman"/>
          <w:color w:val="000000" w:themeColor="text1"/>
        </w:rPr>
        <w:t>≥</w:t>
      </w:r>
      <w:r w:rsidRPr="001439C4">
        <w:rPr>
          <w:rFonts w:ascii="Times New Roman"/>
          <w:color w:val="000000" w:themeColor="text1"/>
        </w:rPr>
        <w:t xml:space="preserve"> 0.95) suggested significant differences between parameters and little overlap of their posterior distributions. </w:t>
      </w:r>
      <w:r w:rsidRPr="001439C4">
        <w:rPr>
          <w:rFonts w:ascii="Times New Roman" w:hAnsi="Times New Roman" w:cs="Times New Roman"/>
          <w:color w:val="000000" w:themeColor="text1"/>
        </w:rPr>
        <w:t>We considered regression coefficients meaningful if the 95% credible interval did not overlap zero.</w:t>
      </w:r>
    </w:p>
    <w:p w14:paraId="44E5DEF9" w14:textId="77777777" w:rsidR="00363D6E" w:rsidRDefault="00363D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41A7D9F6" w14:textId="44A05D51" w:rsidR="00363D6E" w:rsidRPr="001439C4" w:rsidRDefault="00363D6E" w:rsidP="00363D6E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439C4">
        <w:rPr>
          <w:rFonts w:ascii="Times New Roman" w:hAnsi="Times New Roman" w:cs="Times New Roman"/>
          <w:color w:val="000000" w:themeColor="text1"/>
        </w:rPr>
        <w:lastRenderedPageBreak/>
        <w:t>Table S</w:t>
      </w:r>
      <w:r>
        <w:rPr>
          <w:rFonts w:ascii="Times New Roman" w:hAnsi="Times New Roman" w:cs="Times New Roman"/>
          <w:color w:val="000000" w:themeColor="text1"/>
        </w:rPr>
        <w:t>1</w:t>
      </w:r>
      <w:r w:rsidRPr="001439C4">
        <w:rPr>
          <w:rFonts w:ascii="Times New Roman" w:hAnsi="Times New Roman" w:cs="Times New Roman"/>
          <w:color w:val="000000" w:themeColor="text1"/>
        </w:rPr>
        <w:t xml:space="preserve">. Comparison of parameter posterior distributions. </w:t>
      </w:r>
    </w:p>
    <w:tbl>
      <w:tblPr>
        <w:tblW w:w="82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00"/>
        <w:gridCol w:w="1300"/>
        <w:gridCol w:w="2095"/>
        <w:gridCol w:w="2250"/>
        <w:gridCol w:w="1300"/>
      </w:tblGrid>
      <w:tr w:rsidR="00363D6E" w:rsidRPr="001439C4" w14:paraId="3DDF524C" w14:textId="77777777" w:rsidTr="00D326B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19499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Parameter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E9071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Definition</w:t>
            </w:r>
          </w:p>
        </w:tc>
        <w:tc>
          <w:tcPr>
            <w:tcW w:w="434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8173E" w14:textId="77777777" w:rsidR="00363D6E" w:rsidRPr="001439C4" w:rsidRDefault="00363D6E" w:rsidP="00D326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Comparison (A &gt; B)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07758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Probability</w:t>
            </w:r>
          </w:p>
        </w:tc>
      </w:tr>
      <w:tr w:rsidR="00363D6E" w:rsidRPr="001439C4" w14:paraId="5CAB0C43" w14:textId="77777777" w:rsidTr="00D326B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4F398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</w:rPr>
              <w:t>Φ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AE1DAB9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Survival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0B024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Uninfected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2331E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Infected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FB7CD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0.43</w:t>
            </w:r>
          </w:p>
        </w:tc>
      </w:tr>
      <w:tr w:rsidR="00363D6E" w:rsidRPr="001439C4" w14:paraId="22C5D2E6" w14:textId="77777777" w:rsidTr="00D326B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2498C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7CC4637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E9B53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995D9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65F61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363D6E" w:rsidRPr="001439C4" w14:paraId="3FBA98A8" w14:textId="77777777" w:rsidTr="00D326B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800C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γ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1292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Expected arrival per site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2615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Infected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D290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Uninfected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BD78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0.43</w:t>
            </w:r>
          </w:p>
        </w:tc>
      </w:tr>
      <w:tr w:rsidR="00363D6E" w:rsidRPr="001439C4" w14:paraId="21B17CA1" w14:textId="77777777" w:rsidTr="00D326BC">
        <w:trPr>
          <w:gridAfter w:val="3"/>
          <w:wAfter w:w="5645" w:type="dxa"/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4CCE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0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6AA1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363D6E" w:rsidRPr="001439C4" w14:paraId="1E338A0E" w14:textId="77777777" w:rsidTr="00D326BC">
        <w:trPr>
          <w:gridAfter w:val="3"/>
          <w:wAfter w:w="5645" w:type="dxa"/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F3AC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0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D663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363D6E" w:rsidRPr="001439C4" w14:paraId="5DA51B97" w14:textId="77777777" w:rsidTr="00D326B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F8C1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CA65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6D12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FFFE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6C72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363D6E" w:rsidRPr="001439C4" w14:paraId="4CED3150" w14:textId="77777777" w:rsidTr="00D326B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6951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N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750CC2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Total abundance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7617E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Wet 2010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3F1A5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Wet 2011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A1CBC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0.00</w:t>
            </w:r>
          </w:p>
        </w:tc>
      </w:tr>
      <w:tr w:rsidR="00363D6E" w:rsidRPr="001439C4" w14:paraId="0E041BF8" w14:textId="77777777" w:rsidTr="00D326B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9BCF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B348F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C1C0D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Wet 2011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D1137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Wet 2012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A3370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0.00</w:t>
            </w:r>
          </w:p>
        </w:tc>
      </w:tr>
      <w:tr w:rsidR="00363D6E" w:rsidRPr="001439C4" w14:paraId="0D6FEA7A" w14:textId="77777777" w:rsidTr="00D326B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A91F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F4AA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3CE8A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Wet 2012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74120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Dry 2013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2A3CEC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0.91</w:t>
            </w:r>
          </w:p>
        </w:tc>
      </w:tr>
      <w:tr w:rsidR="00363D6E" w:rsidRPr="001439C4" w14:paraId="6DE25DDB" w14:textId="77777777" w:rsidTr="00D326B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2FB67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350EB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4318C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Dry 2013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D8A1A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Wet 2013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7AA71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0.54</w:t>
            </w:r>
          </w:p>
        </w:tc>
      </w:tr>
      <w:tr w:rsidR="00363D6E" w:rsidRPr="001439C4" w14:paraId="4FCB33F4" w14:textId="77777777" w:rsidTr="00D326B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3797BB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491DD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C9638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Wet 2013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B8808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Dry 2014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E82C3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0.39</w:t>
            </w:r>
          </w:p>
        </w:tc>
      </w:tr>
      <w:tr w:rsidR="00363D6E" w:rsidRPr="001439C4" w14:paraId="7AA13243" w14:textId="77777777" w:rsidTr="00D326B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EB8F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B793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4816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4AFC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7AF8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363D6E" w:rsidRPr="001439C4" w14:paraId="534AB5AB" w14:textId="77777777" w:rsidTr="00D326B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410F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A01B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2CD6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Wet 2010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DF7D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Dry 2014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9EC4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0.00</w:t>
            </w:r>
          </w:p>
        </w:tc>
      </w:tr>
      <w:tr w:rsidR="00363D6E" w:rsidRPr="001439C4" w14:paraId="09D37F2C" w14:textId="77777777" w:rsidTr="00D326B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539C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767E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8C20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84FC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9DD4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363D6E" w:rsidRPr="001439C4" w14:paraId="607EA1BE" w14:textId="77777777" w:rsidTr="00D326BC">
        <w:trPr>
          <w:trHeight w:val="300"/>
        </w:trPr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7475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77B1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Detection</w:t>
            </w:r>
          </w:p>
        </w:tc>
        <w:tc>
          <w:tcPr>
            <w:tcW w:w="20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B8EE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Infected wet</w:t>
            </w: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2274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Infected dry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AB7D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0.95</w:t>
            </w:r>
          </w:p>
        </w:tc>
      </w:tr>
      <w:tr w:rsidR="00363D6E" w:rsidRPr="001439C4" w14:paraId="63C046A4" w14:textId="77777777" w:rsidTr="00D326B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0FCCDD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32820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75EEB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Uninfected wet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12AA0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Uninfected dry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CFA05" w14:textId="77777777" w:rsidR="00363D6E" w:rsidRPr="001439C4" w:rsidRDefault="00363D6E" w:rsidP="00D326B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</w:rPr>
              <w:t>1.00</w:t>
            </w:r>
          </w:p>
        </w:tc>
      </w:tr>
    </w:tbl>
    <w:p w14:paraId="4AD9C8FC" w14:textId="29581FCC" w:rsidR="005F3741" w:rsidRDefault="005F3741" w:rsidP="00D657FB">
      <w:pPr>
        <w:spacing w:line="480" w:lineRule="auto"/>
      </w:pPr>
    </w:p>
    <w:p w14:paraId="34C88F54" w14:textId="77777777" w:rsidR="005F3741" w:rsidRDefault="005F3741">
      <w:r>
        <w:br w:type="page"/>
      </w:r>
    </w:p>
    <w:p w14:paraId="0D2F6887" w14:textId="77777777" w:rsidR="005F3741" w:rsidRPr="00921332" w:rsidRDefault="005F3741" w:rsidP="005F3741">
      <w:pPr>
        <w:spacing w:line="480" w:lineRule="auto"/>
        <w:rPr>
          <w:rFonts w:ascii="Times New Roman" w:hAnsi="Times New Roman" w:cs="Times New Roman"/>
          <w:smallCaps/>
          <w:color w:val="000000" w:themeColor="text1"/>
        </w:rPr>
      </w:pPr>
      <w:r w:rsidRPr="00921332">
        <w:rPr>
          <w:rFonts w:ascii="Times New Roman" w:hAnsi="Times New Roman" w:cs="Times New Roman"/>
          <w:smallCaps/>
          <w:color w:val="000000" w:themeColor="text1"/>
        </w:rPr>
        <w:lastRenderedPageBreak/>
        <w:t>References</w:t>
      </w:r>
    </w:p>
    <w:p w14:paraId="7CEC35A3" w14:textId="77777777" w:rsidR="005F3741" w:rsidRPr="00BB2423" w:rsidRDefault="005F3741" w:rsidP="005F3741">
      <w:pPr>
        <w:pStyle w:val="NormalWeb"/>
        <w:spacing w:before="0" w:beforeAutospacing="0" w:after="0" w:afterAutospacing="0" w:line="480" w:lineRule="auto"/>
        <w:ind w:left="720" w:hanging="720"/>
        <w:rPr>
          <w:rFonts w:ascii="Times New Roman" w:hAnsi="Times New Roman"/>
          <w:color w:val="000000" w:themeColor="text1"/>
          <w:sz w:val="24"/>
          <w:szCs w:val="24"/>
        </w:rPr>
      </w:pPr>
      <w:r w:rsidRPr="00BB2423">
        <w:rPr>
          <w:rFonts w:ascii="Times New Roman" w:hAnsi="Times New Roman"/>
          <w:color w:val="000000" w:themeColor="text1"/>
          <w:sz w:val="24"/>
          <w:szCs w:val="24"/>
        </w:rPr>
        <w:t xml:space="preserve">Ruiz-Gutiérrez, V., </w:t>
      </w:r>
      <w:proofErr w:type="spellStart"/>
      <w:r w:rsidRPr="00BB2423">
        <w:rPr>
          <w:rFonts w:ascii="Times New Roman" w:hAnsi="Times New Roman"/>
          <w:color w:val="000000" w:themeColor="text1"/>
          <w:sz w:val="24"/>
          <w:szCs w:val="24"/>
        </w:rPr>
        <w:t>Zipkin</w:t>
      </w:r>
      <w:proofErr w:type="spellEnd"/>
      <w:r w:rsidRPr="00BB2423">
        <w:rPr>
          <w:rFonts w:ascii="Times New Roman" w:hAnsi="Times New Roman"/>
          <w:color w:val="000000" w:themeColor="text1"/>
          <w:sz w:val="24"/>
          <w:szCs w:val="24"/>
        </w:rPr>
        <w:t xml:space="preserve">, E. F., &amp; </w:t>
      </w:r>
      <w:proofErr w:type="spellStart"/>
      <w:r w:rsidRPr="00BB2423">
        <w:rPr>
          <w:rFonts w:ascii="Times New Roman" w:hAnsi="Times New Roman"/>
          <w:color w:val="000000" w:themeColor="text1"/>
          <w:sz w:val="24"/>
          <w:szCs w:val="24"/>
        </w:rPr>
        <w:t>Dhondt</w:t>
      </w:r>
      <w:proofErr w:type="spellEnd"/>
      <w:r w:rsidRPr="00BB2423">
        <w:rPr>
          <w:rFonts w:ascii="Times New Roman" w:hAnsi="Times New Roman"/>
          <w:color w:val="000000" w:themeColor="text1"/>
          <w:sz w:val="24"/>
          <w:szCs w:val="24"/>
        </w:rPr>
        <w:t>, A. A. (2010). Occupancy dynamics in a tropical bird community: unexpectedly high forest use by birds classified as non-for</w:t>
      </w:r>
      <w:bookmarkStart w:id="0" w:name="_GoBack"/>
      <w:bookmarkEnd w:id="0"/>
      <w:r w:rsidRPr="00BB2423">
        <w:rPr>
          <w:rFonts w:ascii="Times New Roman" w:hAnsi="Times New Roman"/>
          <w:color w:val="000000" w:themeColor="text1"/>
          <w:sz w:val="24"/>
          <w:szCs w:val="24"/>
        </w:rPr>
        <w:t xml:space="preserve">est species. </w:t>
      </w:r>
      <w:r w:rsidRPr="00BB2423">
        <w:rPr>
          <w:rFonts w:ascii="Times New Roman" w:hAnsi="Times New Roman"/>
          <w:i/>
          <w:iCs/>
          <w:color w:val="000000" w:themeColor="text1"/>
          <w:sz w:val="24"/>
          <w:szCs w:val="24"/>
        </w:rPr>
        <w:t>Journal of Applied Ecology</w:t>
      </w:r>
      <w:r w:rsidRPr="00BB2423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BB2423">
        <w:rPr>
          <w:rFonts w:ascii="Times New Roman" w:hAnsi="Times New Roman"/>
          <w:iCs/>
          <w:color w:val="000000" w:themeColor="text1"/>
          <w:sz w:val="24"/>
          <w:szCs w:val="24"/>
        </w:rPr>
        <w:t>47</w:t>
      </w:r>
      <w:r w:rsidRPr="00BB2423">
        <w:rPr>
          <w:rFonts w:ascii="Times New Roman" w:hAnsi="Times New Roman"/>
          <w:color w:val="000000" w:themeColor="text1"/>
          <w:sz w:val="24"/>
          <w:szCs w:val="24"/>
        </w:rPr>
        <w:t xml:space="preserve">, 621–630. </w:t>
      </w:r>
    </w:p>
    <w:p w14:paraId="7351EF59" w14:textId="77777777" w:rsidR="005B57E5" w:rsidRPr="005F3741" w:rsidRDefault="005F3741" w:rsidP="00D657FB">
      <w:pPr>
        <w:spacing w:line="480" w:lineRule="auto"/>
        <w:rPr>
          <w:rFonts w:ascii="Times New Roman" w:hAnsi="Times New Roman" w:cs="Times New Roman"/>
        </w:rPr>
      </w:pPr>
    </w:p>
    <w:sectPr w:rsidR="005B57E5" w:rsidRPr="005F3741" w:rsidSect="00A513E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B"/>
    <w:rsid w:val="000B6672"/>
    <w:rsid w:val="00363D6E"/>
    <w:rsid w:val="005F3741"/>
    <w:rsid w:val="00A513EF"/>
    <w:rsid w:val="00D6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9EA4"/>
  <w14:defaultImageDpi w14:val="32767"/>
  <w15:chartTrackingRefBased/>
  <w15:docId w15:val="{1482B03E-92E3-3243-A3CF-3F62B161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57F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3741"/>
    <w:pPr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Graziella DiRenzo</dc:creator>
  <cp:keywords/>
  <dc:description/>
  <cp:lastModifiedBy>Graziella DiRenzo</cp:lastModifiedBy>
  <cp:revision>3</cp:revision>
  <dcterms:created xsi:type="dcterms:W3CDTF">2018-07-05T20:23:00Z</dcterms:created>
  <dcterms:modified xsi:type="dcterms:W3CDTF">2018-07-05T21:47:00Z</dcterms:modified>
</cp:coreProperties>
</file>