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legreya" w:cs="Alegreya" w:eastAsia="Alegreya" w:hAnsi="Alegreya"/>
          <w:b/>
          <w:bCs/>
          <w:color w:val="0D3C4C"/>
          <w:sz w:val="44"/>
          <w:szCs w:val="44"/>
        </w:rPr>
        <w:t xml:space="preserve">CONTIGO CONSTRUCTIONS</w:t>
      </w:r>
    </w:p>
    <w:p>
      <w:pPr>
        <w:spacing w:before="120"/>
        <w:jc w:val="center"/>
      </w:pPr>
      <w:r>
        <w:rPr>
          <w:rFonts w:ascii="Alegreya" w:cs="Alegreya" w:eastAsia="Alegreya" w:hAnsi="Alegreya"/>
          <w:b/>
          <w:bCs/>
          <w:color w:val="B8962E"/>
          <w:sz w:val="44"/>
          <w:szCs w:val="44"/>
        </w:rPr>
        <w:t xml:space="preserve">PLATFORM</w:t>
      </w:r>
    </w:p>
    <w:p>
      <w:pPr>
        <w:spacing w:before="400"/>
        <w:jc w:val="center"/>
      </w:pPr>
      <w:r>
        <w:rPr>
          <w:rFonts w:ascii="Alegreya Sans" w:cs="Alegreya Sans" w:eastAsia="Alegreya Sans" w:hAnsi="Alegreya Sans"/>
          <w:color w:val="1A1A1A"/>
          <w:sz w:val="28"/>
          <w:szCs w:val="28"/>
        </w:rPr>
        <w:t xml:space="preserve">Informe Oficial de Entrega</w:t>
      </w:r>
    </w:p>
    <w:p>
      <w:pPr>
        <w:spacing w:before="80"/>
        <w:jc w:val="center"/>
      </w:pPr>
      <w:r>
        <w:rPr>
          <w:rFonts w:ascii="Space Grotesk" w:cs="Space Grotesk" w:eastAsia="Space Grotesk" w:hAnsi="Space Grotesk"/>
          <w:b/>
          <w:bCs/>
          <w:color w:val="B8962E"/>
          <w:sz w:val="24"/>
          <w:szCs w:val="24"/>
        </w:rPr>
        <w:t xml:space="preserve">Versión 1.0</w:t>
      </w:r>
    </w:p>
    <w:p>
      <w:pPr>
        <w:pBdr>
          <w:top w:val="single" w:color="B8962E" w:sz="6" w:space="8"/>
        </w:pBdr>
        <w:spacing w:before="800"/>
        <w:jc w:val="center"/>
      </w:pPr>
      <w:r>
        <w:rPr>
          <w:rFonts w:ascii="Alegreya Sans" w:cs="Alegreya Sans" w:eastAsia="Alegreya Sans" w:hAnsi="Alegreya Sans"/>
          <w:color w:val="6B6B6B"/>
          <w:sz w:val="20"/>
          <w:szCs w:val="20"/>
        </w:rPr>
        <w:t xml:space="preserve">5 de julio de 2026</w:t>
      </w:r>
    </w:p>
    <w:p>
      <w:pPr>
        <w:spacing w:before="600"/>
        <w:jc w:val="center"/>
      </w:pPr>
      <w:r>
        <w:rPr>
          <w:rFonts w:ascii="Alegreya Sans" w:cs="Alegreya Sans" w:eastAsia="Alegreya Sans" w:hAnsi="Alegreya Sans"/>
          <w:i/>
          <w:iCs/>
          <w:color w:val="6B6B6B"/>
          <w:sz w:val="18"/>
          <w:szCs w:val="18"/>
        </w:rPr>
        <w:t xml:space="preserve">Preparado para</w:t>
      </w:r>
    </w:p>
    <w:p>
      <w:pPr>
        <w:spacing w:before="60"/>
        <w:jc w:val="center"/>
      </w:pPr>
      <w:r>
        <w:rPr>
          <w:rFonts w:ascii="Alegreya Sans" w:cs="Alegreya Sans" w:eastAsia="Alegreya Sans" w:hAnsi="Alegreya Sans"/>
          <w:b/>
          <w:bCs/>
          <w:color w:val="1A1A1A"/>
          <w:sz w:val="22"/>
          <w:szCs w:val="22"/>
        </w:rPr>
        <w:t xml:space="preserve">Daniel Osorio · Anamaria Osorio</w:t>
      </w:r>
    </w:p>
    <w:p>
      <w:pPr>
        <w:spacing w:before="400"/>
        <w:jc w:val="center"/>
      </w:pPr>
      <w:r>
        <w:rPr>
          <w:rFonts w:ascii="Alegreya Sans" w:cs="Alegreya Sans" w:eastAsia="Alegreya Sans" w:hAnsi="Alegreya Sans"/>
          <w:i/>
          <w:iCs/>
          <w:color w:val="6B6B6B"/>
          <w:sz w:val="18"/>
          <w:szCs w:val="18"/>
        </w:rPr>
        <w:t xml:space="preserve">Preparado por</w:t>
      </w:r>
    </w:p>
    <w:p>
      <w:pPr>
        <w:spacing w:before="60"/>
        <w:jc w:val="center"/>
      </w:pPr>
      <w:r>
        <w:rPr>
          <w:rFonts w:ascii="Alegreya Sans" w:cs="Alegreya Sans" w:eastAsia="Alegreya Sans" w:hAnsi="Alegreya Sans"/>
          <w:b/>
          <w:bCs/>
          <w:color w:val="1A1A1A"/>
          <w:sz w:val="22"/>
          <w:szCs w:val="22"/>
        </w:rPr>
        <w:t xml:space="preserve">Gustavo Amarista · Johanaly Ramírez</w:t>
      </w:r>
    </w:p>
    <w:p>
      <w:pPr>
        <w:spacing w:before="40"/>
        <w:jc w:val="center"/>
      </w:pPr>
      <w:r>
        <w:rPr>
          <w:rFonts w:ascii="Alegreya" w:cs="Alegreya" w:eastAsia="Alegreya" w:hAnsi="Alegreya"/>
          <w:b/>
          <w:bCs/>
          <w:color w:val="0D3C4C"/>
          <w:sz w:val="20"/>
          <w:szCs w:val="20"/>
        </w:rPr>
        <w:t xml:space="preserve">zipnegocios</w:t>
      </w:r>
    </w:p>
    <w:p>
      <w:r>
        <w:br w:type="page"/>
      </w:r>
    </w:p>
    <w:p>
      <w:pPr>
        <w:pStyle w:val="Heading1"/>
        <w:pBdr>
          <w:bottom w:val="single" w:color="B8962E" w:sz="6" w:space="4"/>
        </w:pBdr>
        <w:spacing w:after="240" w:before="480"/>
      </w:pPr>
      <w:r>
        <w:rPr>
          <w:rFonts w:ascii="Alegreya" w:cs="Alegreya" w:eastAsia="Alegreya" w:hAnsi="Alegreya"/>
          <w:b/>
          <w:bCs/>
          <w:color w:val="0D3C4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962E" w:sz="6" w:space="4"/>
        </w:pBdr>
        <w:spacing w:after="240" w:before="480"/>
      </w:pPr>
      <w:r>
        <w:rPr>
          <w:rFonts w:ascii="Alegreya" w:cs="Alegreya" w:eastAsia="Alegreya" w:hAnsi="Alegreya"/>
          <w:b/>
          <w:bCs/>
          <w:color w:val="0D3C4C"/>
          <w:sz w:val="32"/>
          <w:szCs w:val="32"/>
        </w:rPr>
        <w:t xml:space="preserve">1. Resumen Ejecutivo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Este informe documenta la entrega oficial de la versión 1.0 de la Contigo Constructions Platform: el sistema de gestión comercial y presencia digital desarrollado para Contigo Constructions. La plataforma reemplaza el sitio de presentación estático inicial por una aplicación completa de negocio, con sitio público de marketing y portafolio, seguimiento de cotizaciones para clientes, y un panel administrativo (CRM) para el equipo interno.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La plataforma está actualmente en producción, desplegada en infraestructura propia (VPS gestionado vía EasyPanel), con base de datos, almacenamiento de archivos, envío de correo y autenticación configurados y operativos.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1.1 Qué recibe Contigo Constructions con esta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Un sitio público de marketing y portafolio, con contenido gestionable desde el panel administrativo (proyectos, servicios, imagen del hero de home).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Un formulario de solicitud de cotización que genera automáticamente un cliente potencial (lead) en el sistema, sin intervención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Un panel de seguimiento para que cada cliente vea el estado de su cotización, descargue documentos (incluyendo facturas) y converse directamente con el equipo.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Un panel administrativo (CRM) donde el equipo gestiona el ciclo completo de cada cliente: pipeline visual de etapas, agenda de llamadas y visitas, notas internas, documentos, tareas con checklist, y mensajería.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Gestión de usuarios internos con roles y permisos configurables, sin depender de un único usuario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Refuerzo de seguridad sobre el acceso administrativo (ver sección 4).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1.2 Cómo leer este paquete de entrega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Este documento es el informe ejecutivo. Se acompaña de 7 anexos técnicos en formato markdown, pensados para el equipo de desarrollo o para cualquier proveedor técnico futuro: Arquitectura, Base de Datos, API, Infraestructura y Operación, Módulos Funcionales, Mantenibilidad y Escalamiento, e Inventario de Artefactos. Este informe resume su contenido en lenguaje de negocio; los anexos contienen el detalle técnico completo.</w:t>
      </w:r>
    </w:p>
    <w:p>
      <w:pPr>
        <w:pStyle w:val="Heading1"/>
        <w:pBdr>
          <w:bottom w:val="single" w:color="B8962E" w:sz="6" w:space="4"/>
        </w:pBdr>
        <w:spacing w:after="240" w:before="480"/>
      </w:pPr>
      <w:r>
        <w:rPr>
          <w:rFonts w:ascii="Alegreya" w:cs="Alegreya" w:eastAsia="Alegreya" w:hAnsi="Alegreya"/>
          <w:b/>
          <w:bCs/>
          <w:color w:val="0D3C4C"/>
          <w:sz w:val="32"/>
          <w:szCs w:val="32"/>
        </w:rPr>
        <w:t xml:space="preserve">2. Alcance de la Entrega v1.0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El alcance funcional entregado se organiza en los siguientes módulos, todos operativos en producción: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30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Sitio de Marketing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Landing pública con hero, servicios, proyectos destacados y contacto.</w:t>
            </w:r>
          </w:p>
        </w:tc>
      </w:tr>
      <w:tr>
        <w:tc>
          <w:tcPr>
            <w:tcW w:type="dxa" w:w="32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Portafolio Público</w:t>
            </w:r>
          </w:p>
        </w:tc>
        <w:tc>
          <w:tcPr>
            <w:tcW w:type="dxa" w:w="63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Listado y detalle de proyectos ejecutados, y páginas individuales por servicio.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Cotizaciones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Formulario público que crea automáticamente un lead en el CRM.</w:t>
            </w:r>
          </w:p>
        </w:tc>
      </w:tr>
      <w:tr>
        <w:tc>
          <w:tcPr>
            <w:tcW w:type="dxa" w:w="32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Panel de Cliente</w:t>
            </w:r>
          </w:p>
        </w:tc>
        <w:tc>
          <w:tcPr>
            <w:tcW w:type="dxa" w:w="63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Seguimiento sin login (por enlace único) con estado, documentos y mensajería.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CRM de Leads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Pipeline visual configurable, ficha de cliente completa, timeline de auditoría.</w:t>
            </w:r>
          </w:p>
        </w:tc>
      </w:tr>
      <w:tr>
        <w:tc>
          <w:tcPr>
            <w:tcW w:type="dxa" w:w="32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Tareas</w:t>
            </w:r>
          </w:p>
        </w:tc>
        <w:tc>
          <w:tcPr>
            <w:tcW w:type="dxa" w:w="63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Checklists, comentarios y adjuntos por cliente — base operativa post-venta.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Staff y Permisos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Gestión de usuarios internos con roles y permisos granulares.</w:t>
            </w:r>
          </w:p>
        </w:tc>
      </w:tr>
      <w:tr>
        <w:tc>
          <w:tcPr>
            <w:tcW w:type="dxa" w:w="32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Constructor de Formularios</w:t>
            </w:r>
          </w:p>
        </w:tc>
        <w:tc>
          <w:tcPr>
            <w:tcW w:type="dxa" w:w="63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Editor visual del formulario de cotización, con historial de versiones.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Biblioteca de Medios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Gestor de archivos con carpetas y etiquetas, compartido por todo el sitio.</w:t>
            </w:r>
          </w:p>
        </w:tc>
      </w:tr>
      <w:tr>
        <w:tc>
          <w:tcPr>
            <w:tcW w:type="dxa" w:w="32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Taxonomía de Servicios</w:t>
            </w:r>
          </w:p>
        </w:tc>
        <w:tc>
          <w:tcPr>
            <w:tcW w:type="dxa" w:w="63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Los 4 rubros aprobados por el negocio: Carpentry, Cladding, Gyprock Fixing &amp; Flushing, Additional Services.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2.1 Explícitamente fuera de esta entrega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Suite de pruebas automatizadas (tests) — se procesará como anexo de una segunda sesión de trabajo.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Integración con sistemas de facturación externos (Xero) — propuesta como Fase 2 comercial, ver sección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Autenticación de dos factores (2FA) y política de seguridad de contenido (CSP) — documentadas como trabajo técnico pendiente, sin impacto en la operación actual.</w:t>
      </w:r>
    </w:p>
    <w:p>
      <w:pPr>
        <w:pStyle w:val="Heading1"/>
        <w:pBdr>
          <w:bottom w:val="single" w:color="B8962E" w:sz="6" w:space="4"/>
        </w:pBdr>
        <w:spacing w:after="240" w:before="480"/>
      </w:pPr>
      <w:r>
        <w:rPr>
          <w:rFonts w:ascii="Alegreya" w:cs="Alegreya" w:eastAsia="Alegreya" w:hAnsi="Alegreya"/>
          <w:b/>
          <w:bCs/>
          <w:color w:val="0D3C4C"/>
          <w:sz w:val="32"/>
          <w:szCs w:val="32"/>
        </w:rPr>
        <w:t xml:space="preserve">3. Estado del Sistema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La plataforma está construida como una aplicación Next.js con una arquitectura por capas (dominio, aplicación, infraestructura, presentación), lo que permite mantener y extender cada módulo de forma ordenada. El detalle técnico completo está en el Anexo 1 (Arquitectura del Sistema) y el Anexo 2 (Base de Datos).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3.1 Infraestructura en producción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Aplicación desplegada en contenedor Docker sobre VPS (Hostinger), orquestada con Docker Swarm vía EasyPanel.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Base de datos PostgreSQL con 26 tablas, respaldando cotizaciones, leads, proyectos, servicios, tareas y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Almacenamiento de archivos en Cloudflare R2, separado en un bucket público (imágenes del sitio) y uno privado (documentos de clientes).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Correo transaccional vía Resend, sobre un subdominio verificado dedicado.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Cloudflare como capa de protección y CDN delante del sitio.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3.2 Volumen de ingeniería entregado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75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</w:tr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Endpoints de API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87</w:t>
            </w:r>
          </w:p>
        </w:tc>
      </w:tr>
      <w:tr>
        <w:tc>
          <w:tcPr>
            <w:tcW w:type="dxa" w:w="475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Casos de uso de negocio</w:t>
            </w:r>
          </w:p>
        </w:tc>
        <w:tc>
          <w:tcPr>
            <w:tcW w:type="dxa" w:w="475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Entidades de dominio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475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Tablas de base de datos</w:t>
            </w:r>
          </w:p>
        </w:tc>
        <w:tc>
          <w:tcPr>
            <w:tcW w:type="dxa" w:w="475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Líneas de código (TypeScript/React)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~51.000</w:t>
            </w:r>
          </w:p>
        </w:tc>
      </w:tr>
    </w:tbl>
    <w:p>
      <w:pPr>
        <w:pStyle w:val="Heading1"/>
        <w:pBdr>
          <w:bottom w:val="single" w:color="B8962E" w:sz="6" w:space="4"/>
        </w:pBdr>
        <w:spacing w:after="240" w:before="480"/>
      </w:pPr>
      <w:r>
        <w:rPr>
          <w:rFonts w:ascii="Alegreya" w:cs="Alegreya" w:eastAsia="Alegreya" w:hAnsi="Alegreya"/>
          <w:b/>
          <w:bCs/>
          <w:color w:val="0D3C4C"/>
          <w:sz w:val="32"/>
          <w:szCs w:val="32"/>
        </w:rPr>
        <w:t xml:space="preserve">4. Seguridad — Refuerzo Aplicado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Como parte de esta entrega se ejecutó un endurecimiento (hardening) integral del acceso administrativo, dado que la versión previa presentaba riesgos propios de una etapa de desarrollo activo: una contraseña de administrador fija que se recreaba en cada arranque del sistema, sesiones de larga duración, y ausencia de mecanismos de bloqueo ante intentos de acceso fallidos.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4.1 Mejoras aplicadas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Eliminación de la contraseña de administrador fija generada automáticamente en cada arranque.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Invitación de nuevos usuarios del equipo mediante enlace de un solo uso, en lugar de contraseñas temporales compartidas.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Recuperación de contraseña propia, con enlaces de un solo uso y expiración.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Invalidación automática de sesiones activas cuando un usuario cambia su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Bloqueo temporal de cuenta ante múltiples intentos fallidos de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Reducción del tiempo de vida de las sesiones activas.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Registro de auditoría de eventos de seguridad (accesos, bloqueos, cambios de permisos).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4.2 Verificación recomendada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Se recomienda que el equipo de zipnegocios confirme formalmente, antes de dar por cerrada esta entrega, que las mejoras anteriores están activas en el entorno de producción — el detalle de verificación punto por punto está en el Anexo 6 (Mantenibilidad y Escalamiento, sección 1).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4.3 Diferido para una etapa posterior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Autenticación de dos factores (2FA) y una política de seguridad de contenido (CSP) del navegador quedan documentadas como mejoras recomendadas a futuro, sin urgencia operativa inmediata.</w:t>
      </w:r>
    </w:p>
    <w:p>
      <w:pPr>
        <w:pStyle w:val="Heading1"/>
        <w:pBdr>
          <w:bottom w:val="single" w:color="B8962E" w:sz="6" w:space="4"/>
        </w:pBdr>
        <w:spacing w:after="240" w:before="480"/>
      </w:pPr>
      <w:r>
        <w:rPr>
          <w:rFonts w:ascii="Alegreya" w:cs="Alegreya" w:eastAsia="Alegreya" w:hAnsi="Alegreya"/>
          <w:b/>
          <w:bCs/>
          <w:color w:val="0D3C4C"/>
          <w:sz w:val="32"/>
          <w:szCs w:val="32"/>
        </w:rPr>
        <w:t xml:space="preserve">5. Matriz de Riesgos y Trabajo Pendiente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En el espíritu de una entrega transparente, se listan a continuación los puntos de atención identificados, con su nivel de severidad en términos de impacto de negocio (no solo técnico).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900"/>
      </w:tblGrid>
      <w:tr>
        <w:trPr>
          <w:tblHeader/>
        </w:trPr>
        <w:tc>
          <w:tcPr>
            <w:tcW w:type="dxa" w:w="140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420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Punto de atención</w:t>
            </w:r>
          </w:p>
        </w:tc>
        <w:tc>
          <w:tcPr>
            <w:tcW w:type="dxa" w:w="390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Impacto de negocio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Alta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Ausencia de pruebas automatizadas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El control de calidad depende hoy de revisión manual; mayor riesgo al introducir cambios futuros.</w:t>
            </w:r>
          </w:p>
        </w:tc>
      </w:tr>
      <w:tr>
        <w:tc>
          <w:tcPr>
            <w:tcW w:type="dxa" w:w="14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Media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Algunas secciones del catálogo (proyectos, servicios, categorías) no siguen el mismo patrón interno robusto que el resto del sistema</w:t>
            </w:r>
          </w:p>
        </w:tc>
        <w:tc>
          <w:tcPr>
            <w:tcW w:type="dxa" w:w="39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No afecta el funcionamiento actual; sí incrementa el esfuerzo de mantenimiento futuro en esa área.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Media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Sin límite de tamaño configurado en la subida de archivos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Riesgo de uso excesivo de almacenamiento si no se define un tope.</w:t>
            </w:r>
          </w:p>
        </w:tc>
      </w:tr>
      <w:tr>
        <w:tc>
          <w:tcPr>
            <w:tcW w:type="dxa" w:w="14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Baja</w:t>
            </w:r>
          </w:p>
        </w:tc>
        <w:tc>
          <w:tcPr>
            <w:tcW w:type="dxa" w:w="42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Documentación interna con nombres de script casi duplicados</w:t>
            </w:r>
          </w:p>
        </w:tc>
        <w:tc>
          <w:tcPr>
            <w:tcW w:type="dxa" w:w="39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Solo genera confusión operativa puntual, sin afectar el funcionamiento.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El detalle técnico completo de cada punto, con la acción recomendada y el archivo exacto involucrado, está en el Anexo 6 (Mantenibilidad y Escalamiento).</w:t>
      </w:r>
    </w:p>
    <w:p>
      <w:pPr>
        <w:pStyle w:val="Heading1"/>
        <w:pBdr>
          <w:bottom w:val="single" w:color="B8962E" w:sz="6" w:space="4"/>
        </w:pBdr>
        <w:spacing w:after="240" w:before="480"/>
      </w:pPr>
      <w:r>
        <w:rPr>
          <w:rFonts w:ascii="Alegreya" w:cs="Alegreya" w:eastAsia="Alegreya" w:hAnsi="Alegreya"/>
          <w:b/>
          <w:bCs/>
          <w:color w:val="0D3C4C"/>
          <w:sz w:val="32"/>
          <w:szCs w:val="32"/>
        </w:rPr>
        <w:t xml:space="preserve">6. Roadmap Recomendado — Fase 2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Más allá del cierre de brechas técnicas, se propone una segunda fase de trabajo orientada directamente a generar valor operativo para Contigo Constructions: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6.1 Integración con Xero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Conectar el CRM con Xero para automatizar la facturación: al marcar un cliente como "ganado" en el pipeline, generar automáticamente un borrador de factura en Xero con los datos ya capturados durante la cotización, y sincronizar el estado de pago de vuelta al panel administrativo.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6.2 Evolución del CRM hacia un gestor de operaciones por proyecto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El módulo de tareas ya construido en esta entrega sienta las bases para evolucionar de un simple seguimiento comercial a una herramienta que acompañe la ejecución real de cada proyecto ganado: plantillas de checklist por tipo de servicio, calendario de hitos de obra, y reportes de avance exportables para el cliente.</w:t>
      </w:r>
    </w:p>
    <w:p>
      <w:pPr>
        <w:pStyle w:val="Heading2"/>
        <w:spacing w:after="160" w:before="320"/>
      </w:pPr>
      <w:r>
        <w:rPr>
          <w:rFonts w:ascii="Alegreya" w:cs="Alegreya" w:eastAsia="Alegreya" w:hAnsi="Alegreya"/>
          <w:b/>
          <w:bCs/>
          <w:color w:val="1A1A1A"/>
          <w:sz w:val="26"/>
          <w:szCs w:val="26"/>
        </w:rPr>
        <w:t xml:space="preserve">6.3 Objetivo de negocio de esta fase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Que la plataforma deje de ser únicamente una herramienta de captación de clientes y se convierta en el sistema donde se planifica y controla la ejecución de cada proyecto de carpintería y construcción, desde la primera cotización hasta la entrega final y el cobro.</w:t>
      </w:r>
    </w:p>
    <w:p>
      <w:pPr>
        <w:pStyle w:val="Heading1"/>
        <w:pBdr>
          <w:bottom w:val="single" w:color="B8962E" w:sz="6" w:space="4"/>
        </w:pBdr>
        <w:spacing w:after="240" w:before="480"/>
      </w:pPr>
      <w:r>
        <w:rPr>
          <w:rFonts w:ascii="Alegreya" w:cs="Alegreya" w:eastAsia="Alegreya" w:hAnsi="Alegreya"/>
          <w:b/>
          <w:bCs/>
          <w:color w:val="0D3C4C"/>
          <w:sz w:val="32"/>
          <w:szCs w:val="32"/>
        </w:rPr>
        <w:t xml:space="preserve">7. Anexos Técnicos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Este informe se acompaña de los siguientes 7 documentos técnicos, entregados en formato markdown junto a este archivo: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3400"/>
      </w:tblGrid>
      <w:tr>
        <w:trPr>
          <w:tblHeader/>
        </w:trPr>
        <w:tc>
          <w:tcPr>
            <w:tcW w:type="dxa" w:w="70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3400"/>
            <w:shd w:fill="0D3C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b/>
                <w:bCs/>
                <w:color w:val="FFFFFF"/>
                <w:sz w:val="19"/>
                <w:szCs w:val="19"/>
              </w:rPr>
              <w:t xml:space="preserve">Audiencia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Arquitectura del Sistema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Equipo técnico</w:t>
            </w:r>
          </w:p>
        </w:tc>
      </w:tr>
      <w:tr>
        <w:tc>
          <w:tcPr>
            <w:tcW w:type="dxa" w:w="7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4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Equipo técnico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API Reference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Equipo técnico</w:t>
            </w:r>
          </w:p>
        </w:tc>
      </w:tr>
      <w:tr>
        <w:tc>
          <w:tcPr>
            <w:tcW w:type="dxa" w:w="7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Infraestructura y Operación</w:t>
            </w:r>
          </w:p>
        </w:tc>
        <w:tc>
          <w:tcPr>
            <w:tcW w:type="dxa" w:w="34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Equipo técnico / operaciones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Módulos Funcionales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Equipo técnico y de producto</w:t>
            </w:r>
          </w:p>
        </w:tc>
      </w:tr>
      <w:tr>
        <w:tc>
          <w:tcPr>
            <w:tcW w:type="dxa" w:w="7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Mantenibilidad y Escalamiento</w:t>
            </w:r>
          </w:p>
        </w:tc>
        <w:tc>
          <w:tcPr>
            <w:tcW w:type="dxa" w:w="34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Equipo técnico y dirección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Inventario de Artefactos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legreya Sans" w:cs="Alegreya Sans" w:eastAsia="Alegreya Sans" w:hAnsi="Alegreya Sans"/>
                <w:sz w:val="19"/>
                <w:szCs w:val="19"/>
              </w:rPr>
              <w:t xml:space="preserve">Dirección — traspaso de accesos</w:t>
            </w:r>
          </w:p>
        </w:tc>
      </w:tr>
    </w:tbl>
    <w:p>
      <w:pPr>
        <w:pStyle w:val="Heading1"/>
        <w:pBdr>
          <w:bottom w:val="single" w:color="B8962E" w:sz="6" w:space="4"/>
        </w:pBdr>
        <w:spacing w:after="240" w:before="480"/>
      </w:pPr>
      <w:r>
        <w:rPr>
          <w:rFonts w:ascii="Alegreya" w:cs="Alegreya" w:eastAsia="Alegreya" w:hAnsi="Alegreya"/>
          <w:b/>
          <w:bCs/>
          <w:color w:val="0D3C4C"/>
          <w:sz w:val="32"/>
          <w:szCs w:val="32"/>
        </w:rPr>
        <w:t xml:space="preserve">8. Condiciones de Soporte y Cierre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Esta entrega marca el cierre formal de la versión 1.0 del proyecto. El Anexo 7 (Inventario de Artefactos) detalla dónde vive cada credencial y servicio del sistema, como base para el traspaso ordenado de accesos si así se requiere.</w:t>
      </w:r>
    </w:p>
    <w:p>
      <w:pPr>
        <w:spacing w:after="160" w:line="300"/>
      </w:pPr>
      <w:r>
        <w:rPr>
          <w:rFonts w:ascii="Alegreya Sans" w:cs="Alegreya Sans" w:eastAsia="Alegreya Sans" w:hAnsi="Alegreya Sans"/>
          <w:color w:val="1A1A1A"/>
          <w:sz w:val="21"/>
          <w:szCs w:val="21"/>
        </w:rPr>
        <w:t xml:space="preserve">Quedan pendientes, por acuerdo explícito entre las partes: la ejecución de pruebas automatizadas como anexo de una segunda sesión de trabajo, y la propuesta comercial de Fase 2 descrita en la sección 6, a discutir en una reunión de seguimiento.</w:t>
      </w:r>
    </w:p>
    <w:p>
      <w:pPr>
        <w:spacing w:before="600"/>
      </w:pPr>
    </w:p>
    <w:p>
      <w:pPr>
        <w:spacing w:after="160" w:line="300"/>
      </w:pPr>
      <w:r>
        <w:rPr>
          <w:rFonts w:ascii="Alegreya Sans" w:cs="Alegreya Sans" w:eastAsia="Alegreya Sans" w:hAnsi="Alegreya Sans"/>
          <w:i/>
          <w:iCs/>
          <w:color w:val="1A1A1A"/>
          <w:sz w:val="21"/>
          <w:szCs w:val="21"/>
        </w:rPr>
        <w:t xml:space="preserve">Quedamos atentos a cualquier consulta sobre el contenido de este informe o de sus anexos técnicos.</w:t>
      </w:r>
    </w:p>
    <w:p>
      <w:pPr>
        <w:spacing w:before="400"/>
      </w:pPr>
    </w:p>
    <w:p>
      <w:pPr>
        <w:spacing w:after="160" w:line="300"/>
      </w:pPr>
      <w:r>
        <w:rPr>
          <w:rFonts w:ascii="Alegreya Sans" w:cs="Alegreya Sans" w:eastAsia="Alegreya Sans" w:hAnsi="Alegreya Sans"/>
          <w:b/>
          <w:bCs/>
          <w:color w:val="1A1A1A"/>
          <w:sz w:val="21"/>
          <w:szCs w:val="21"/>
        </w:rPr>
        <w:t xml:space="preserve">Gustavo Amarista · Johanaly Ramírez</w:t>
      </w:r>
    </w:p>
    <w:p>
      <w:pPr>
        <w:spacing w:after="160" w:line="300"/>
      </w:pPr>
      <w:r>
        <w:rPr>
          <w:rFonts w:ascii="Alegreya Sans" w:cs="Alegreya Sans" w:eastAsia="Alegreya Sans" w:hAnsi="Alegreya Sans"/>
          <w:b/>
          <w:bCs/>
          <w:color w:val="B8962E"/>
          <w:sz w:val="21"/>
          <w:szCs w:val="21"/>
        </w:rPr>
        <w:t xml:space="preserve">zipnegocios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legreya Sans" w:cs="Alegreya Sans" w:eastAsia="Alegreya Sans" w:hAnsi="Alegreya Sans"/>
        <w:color w:val="6B6B6B"/>
        <w:sz w:val="16"/>
        <w:szCs w:val="16"/>
      </w:rPr>
      <w:t xml:space="preserve">Página </w:t>
    </w:r>
    <w:r>
      <w:rPr>
        <w:rFonts w:ascii="Alegreya Sans" w:cs="Alegreya Sans" w:eastAsia="Alegreya Sans" w:hAnsi="Alegreya Sans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legreya Sans" w:cs="Alegreya Sans" w:eastAsia="Alegreya Sans" w:hAnsi="Alegreya Sans"/>
        <w:color w:val="6B6B6B"/>
        <w:sz w:val="16"/>
        <w:szCs w:val="16"/>
      </w:rPr>
      <w:t xml:space="preserve"> de </w:t>
    </w:r>
    <w:r>
      <w:rPr>
        <w:rFonts w:ascii="Alegreya Sans" w:cs="Alegreya Sans" w:eastAsia="Alegreya Sans" w:hAnsi="Alegreya Sans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legreya Sans" w:cs="Alegreya Sans" w:eastAsia="Alegreya Sans" w:hAnsi="Alegreya Sans"/>
        <w:color w:val="6B6B6B"/>
        <w:sz w:val="16"/>
        <w:szCs w:val="16"/>
      </w:rPr>
      <w:t xml:space="preserve">Contigo Constructions Platform · Entrega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legreya Sans" w:cs="Alegreya Sans" w:eastAsia="Alegreya Sans" w:hAnsi="Alegreya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legreya" w:cs="Alegreya" w:eastAsia="Alegreya" w:hAnsi="Alegreya"/>
      <w:b/>
      <w:bCs/>
      <w:color w:val="0D3C4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legreya" w:cs="Alegreya" w:eastAsia="Alegreya" w:hAnsi="Alegreya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2026-07-06T00:56:31.321Z</dcterms:created>
  <dcterms:modified xsi:type="dcterms:W3CDTF">2026-07-06T00:56:31.321Z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