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4"/>
          <w:szCs w:val="24"/>
        </w:rPr>
        <w:id w:val="514890563"/>
        <w:docPartObj>
          <w:docPartGallery w:val="Table of Contents"/>
          <w:docPartUnique/>
        </w:docPartObj>
      </w:sdtPr>
      <w:sdtEndPr/>
      <w:sdtContent>
        <w:p w:rsidR="0088398C" w:rsidRDefault="00097E4F">
          <w:pPr>
            <w:pStyle w:val="TOCHeading"/>
          </w:pPr>
          <w:r>
            <w:t>Table of Contents</w:t>
          </w:r>
        </w:p>
        <w:p w:rsidR="009D530D" w:rsidRDefault="00097E4F">
          <w:pPr>
            <w:pStyle w:val="TOC1"/>
            <w:tabs>
              <w:tab w:val="right" w:leader="dot" w:pos="9350"/>
            </w:tabs>
            <w:rPr>
              <w:noProof/>
            </w:rPr>
          </w:pPr>
          <w:r>
            <w:fldChar w:fldCharType="begin"/>
          </w:r>
          <w:r>
            <w:instrText>TOC \o "1-2" \h \z \u</w:instrText>
          </w:r>
          <w:r w:rsidR="009D530D">
            <w:fldChar w:fldCharType="separate"/>
          </w:r>
          <w:hyperlink w:anchor="_Toc240618558" w:history="1">
            <w:r w:rsidR="009D530D" w:rsidRPr="00D822DF">
              <w:rPr>
                <w:rStyle w:val="Hyperlink"/>
                <w:noProof/>
              </w:rPr>
              <w:t>HRMS SaaS Platform — System Architecture</w:t>
            </w:r>
            <w:r w:rsidR="009D530D">
              <w:rPr>
                <w:noProof/>
                <w:webHidden/>
              </w:rPr>
              <w:tab/>
            </w:r>
            <w:r w:rsidR="009D530D">
              <w:rPr>
                <w:noProof/>
                <w:webHidden/>
              </w:rPr>
              <w:fldChar w:fldCharType="begin"/>
            </w:r>
            <w:r w:rsidR="009D530D">
              <w:rPr>
                <w:noProof/>
                <w:webHidden/>
              </w:rPr>
              <w:instrText xml:space="preserve"> PAGEREF _Toc240618558 \h </w:instrText>
            </w:r>
            <w:r w:rsidR="009D530D">
              <w:rPr>
                <w:noProof/>
                <w:webHidden/>
              </w:rPr>
            </w:r>
            <w:r w:rsidR="009D530D">
              <w:rPr>
                <w:noProof/>
                <w:webHidden/>
              </w:rPr>
              <w:fldChar w:fldCharType="separate"/>
            </w:r>
            <w:r w:rsidR="009D530D">
              <w:rPr>
                <w:noProof/>
                <w:webHidden/>
              </w:rPr>
              <w:t>1</w:t>
            </w:r>
            <w:r w:rsidR="009D530D">
              <w:rPr>
                <w:noProof/>
                <w:webHidden/>
              </w:rPr>
              <w:fldChar w:fldCharType="end"/>
            </w:r>
          </w:hyperlink>
        </w:p>
        <w:p w:rsidR="009D530D" w:rsidRDefault="009D530D">
          <w:pPr>
            <w:pStyle w:val="TOC2"/>
            <w:tabs>
              <w:tab w:val="right" w:leader="dot" w:pos="9350"/>
            </w:tabs>
            <w:rPr>
              <w:noProof/>
            </w:rPr>
          </w:pPr>
          <w:hyperlink w:anchor="_Toc240618559" w:history="1">
            <w:r w:rsidRPr="00D822DF">
              <w:rPr>
                <w:rStyle w:val="Hyperlink"/>
                <w:noProof/>
              </w:rPr>
              <w:t>1. Vision &amp; Scope</w:t>
            </w:r>
            <w:r>
              <w:rPr>
                <w:noProof/>
                <w:webHidden/>
              </w:rPr>
              <w:tab/>
            </w:r>
            <w:r>
              <w:rPr>
                <w:noProof/>
                <w:webHidden/>
              </w:rPr>
              <w:fldChar w:fldCharType="begin"/>
            </w:r>
            <w:r>
              <w:rPr>
                <w:noProof/>
                <w:webHidden/>
              </w:rPr>
              <w:instrText xml:space="preserve"> PAGEREF _Toc240618559 \h </w:instrText>
            </w:r>
            <w:r>
              <w:rPr>
                <w:noProof/>
                <w:webHidden/>
              </w:rPr>
            </w:r>
            <w:r>
              <w:rPr>
                <w:noProof/>
                <w:webHidden/>
              </w:rPr>
              <w:fldChar w:fldCharType="separate"/>
            </w:r>
            <w:r>
              <w:rPr>
                <w:noProof/>
                <w:webHidden/>
              </w:rPr>
              <w:t>1</w:t>
            </w:r>
            <w:r>
              <w:rPr>
                <w:noProof/>
                <w:webHidden/>
              </w:rPr>
              <w:fldChar w:fldCharType="end"/>
            </w:r>
          </w:hyperlink>
        </w:p>
        <w:p w:rsidR="009D530D" w:rsidRDefault="009D530D">
          <w:pPr>
            <w:pStyle w:val="TOC2"/>
            <w:tabs>
              <w:tab w:val="right" w:leader="dot" w:pos="9350"/>
            </w:tabs>
            <w:rPr>
              <w:noProof/>
            </w:rPr>
          </w:pPr>
          <w:hyperlink w:anchor="_Toc240618560" w:history="1">
            <w:r w:rsidRPr="00D822DF">
              <w:rPr>
                <w:rStyle w:val="Hyperlink"/>
                <w:noProof/>
              </w:rPr>
              <w:t>2. Guiding Architectural Principles</w:t>
            </w:r>
            <w:r>
              <w:rPr>
                <w:noProof/>
                <w:webHidden/>
              </w:rPr>
              <w:tab/>
            </w:r>
            <w:r>
              <w:rPr>
                <w:noProof/>
                <w:webHidden/>
              </w:rPr>
              <w:fldChar w:fldCharType="begin"/>
            </w:r>
            <w:r>
              <w:rPr>
                <w:noProof/>
                <w:webHidden/>
              </w:rPr>
              <w:instrText xml:space="preserve"> PAGEREF _Toc240618560 \h </w:instrText>
            </w:r>
            <w:r>
              <w:rPr>
                <w:noProof/>
                <w:webHidden/>
              </w:rPr>
            </w:r>
            <w:r>
              <w:rPr>
                <w:noProof/>
                <w:webHidden/>
              </w:rPr>
              <w:fldChar w:fldCharType="separate"/>
            </w:r>
            <w:r>
              <w:rPr>
                <w:noProof/>
                <w:webHidden/>
              </w:rPr>
              <w:t>2</w:t>
            </w:r>
            <w:r>
              <w:rPr>
                <w:noProof/>
                <w:webHidden/>
              </w:rPr>
              <w:fldChar w:fldCharType="end"/>
            </w:r>
          </w:hyperlink>
        </w:p>
        <w:p w:rsidR="009D530D" w:rsidRDefault="009D530D">
          <w:pPr>
            <w:pStyle w:val="TOC2"/>
            <w:tabs>
              <w:tab w:val="right" w:leader="dot" w:pos="9350"/>
            </w:tabs>
            <w:rPr>
              <w:noProof/>
            </w:rPr>
          </w:pPr>
          <w:hyperlink w:anchor="_Toc240618561" w:history="1">
            <w:r w:rsidRPr="00D822DF">
              <w:rPr>
                <w:rStyle w:val="Hyperlink"/>
                <w:noProof/>
              </w:rPr>
              <w:t>3. High-Level Architecture</w:t>
            </w:r>
            <w:r>
              <w:rPr>
                <w:noProof/>
                <w:webHidden/>
              </w:rPr>
              <w:tab/>
            </w:r>
            <w:r>
              <w:rPr>
                <w:noProof/>
                <w:webHidden/>
              </w:rPr>
              <w:fldChar w:fldCharType="begin"/>
            </w:r>
            <w:r>
              <w:rPr>
                <w:noProof/>
                <w:webHidden/>
              </w:rPr>
              <w:instrText xml:space="preserve"> PAGEREF _Toc240618561 \h </w:instrText>
            </w:r>
            <w:r>
              <w:rPr>
                <w:noProof/>
                <w:webHidden/>
              </w:rPr>
            </w:r>
            <w:r>
              <w:rPr>
                <w:noProof/>
                <w:webHidden/>
              </w:rPr>
              <w:fldChar w:fldCharType="separate"/>
            </w:r>
            <w:r>
              <w:rPr>
                <w:noProof/>
                <w:webHidden/>
              </w:rPr>
              <w:t>3</w:t>
            </w:r>
            <w:r>
              <w:rPr>
                <w:noProof/>
                <w:webHidden/>
              </w:rPr>
              <w:fldChar w:fldCharType="end"/>
            </w:r>
          </w:hyperlink>
        </w:p>
        <w:p w:rsidR="009D530D" w:rsidRDefault="009D530D">
          <w:pPr>
            <w:pStyle w:val="TOC2"/>
            <w:tabs>
              <w:tab w:val="right" w:leader="dot" w:pos="9350"/>
            </w:tabs>
            <w:rPr>
              <w:noProof/>
            </w:rPr>
          </w:pPr>
          <w:hyperlink w:anchor="_Toc240618562" w:history="1">
            <w:r w:rsidRPr="00D822DF">
              <w:rPr>
                <w:rStyle w:val="Hyperlink"/>
                <w:noProof/>
              </w:rPr>
              <w:t>4. Multi-Tenancy Model</w:t>
            </w:r>
            <w:r>
              <w:rPr>
                <w:noProof/>
                <w:webHidden/>
              </w:rPr>
              <w:tab/>
            </w:r>
            <w:r>
              <w:rPr>
                <w:noProof/>
                <w:webHidden/>
              </w:rPr>
              <w:fldChar w:fldCharType="begin"/>
            </w:r>
            <w:r>
              <w:rPr>
                <w:noProof/>
                <w:webHidden/>
              </w:rPr>
              <w:instrText xml:space="preserve"> PAGEREF _Toc240618562 \h </w:instrText>
            </w:r>
            <w:r>
              <w:rPr>
                <w:noProof/>
                <w:webHidden/>
              </w:rPr>
            </w:r>
            <w:r>
              <w:rPr>
                <w:noProof/>
                <w:webHidden/>
              </w:rPr>
              <w:fldChar w:fldCharType="separate"/>
            </w:r>
            <w:r>
              <w:rPr>
                <w:noProof/>
                <w:webHidden/>
              </w:rPr>
              <w:t>3</w:t>
            </w:r>
            <w:r>
              <w:rPr>
                <w:noProof/>
                <w:webHidden/>
              </w:rPr>
              <w:fldChar w:fldCharType="end"/>
            </w:r>
          </w:hyperlink>
        </w:p>
        <w:p w:rsidR="009D530D" w:rsidRDefault="009D530D">
          <w:pPr>
            <w:pStyle w:val="TOC2"/>
            <w:tabs>
              <w:tab w:val="right" w:leader="dot" w:pos="9350"/>
            </w:tabs>
            <w:rPr>
              <w:noProof/>
            </w:rPr>
          </w:pPr>
          <w:hyperlink w:anchor="_Toc240618563" w:history="1">
            <w:r w:rsidRPr="00D822DF">
              <w:rPr>
                <w:rStyle w:val="Hyperlink"/>
                <w:noProof/>
              </w:rPr>
              <w:t>5. Pinned Tech Stack (Implementation Decision)</w:t>
            </w:r>
            <w:r>
              <w:rPr>
                <w:noProof/>
                <w:webHidden/>
              </w:rPr>
              <w:tab/>
            </w:r>
            <w:r>
              <w:rPr>
                <w:noProof/>
                <w:webHidden/>
              </w:rPr>
              <w:fldChar w:fldCharType="begin"/>
            </w:r>
            <w:r>
              <w:rPr>
                <w:noProof/>
                <w:webHidden/>
              </w:rPr>
              <w:instrText xml:space="preserve"> PAGEREF _Toc240618563 \h </w:instrText>
            </w:r>
            <w:r>
              <w:rPr>
                <w:noProof/>
                <w:webHidden/>
              </w:rPr>
            </w:r>
            <w:r>
              <w:rPr>
                <w:noProof/>
                <w:webHidden/>
              </w:rPr>
              <w:fldChar w:fldCharType="separate"/>
            </w:r>
            <w:r>
              <w:rPr>
                <w:noProof/>
                <w:webHidden/>
              </w:rPr>
              <w:t>4</w:t>
            </w:r>
            <w:r>
              <w:rPr>
                <w:noProof/>
                <w:webHidden/>
              </w:rPr>
              <w:fldChar w:fldCharType="end"/>
            </w:r>
          </w:hyperlink>
        </w:p>
        <w:p w:rsidR="009D530D" w:rsidRDefault="009D530D">
          <w:pPr>
            <w:pStyle w:val="TOC2"/>
            <w:tabs>
              <w:tab w:val="right" w:leader="dot" w:pos="9350"/>
            </w:tabs>
            <w:rPr>
              <w:noProof/>
            </w:rPr>
          </w:pPr>
          <w:hyperlink w:anchor="_Toc240618564" w:history="1">
            <w:r w:rsidRPr="00D822DF">
              <w:rPr>
                <w:rStyle w:val="Hyperlink"/>
                <w:noProof/>
              </w:rPr>
              <w:t>5a. Reference Tech Stack (Later Phases / Alternatives Considered)</w:t>
            </w:r>
            <w:r>
              <w:rPr>
                <w:noProof/>
                <w:webHidden/>
              </w:rPr>
              <w:tab/>
            </w:r>
            <w:r>
              <w:rPr>
                <w:noProof/>
                <w:webHidden/>
              </w:rPr>
              <w:fldChar w:fldCharType="begin"/>
            </w:r>
            <w:r>
              <w:rPr>
                <w:noProof/>
                <w:webHidden/>
              </w:rPr>
              <w:instrText xml:space="preserve"> PAGEREF _Toc240618564 \h </w:instrText>
            </w:r>
            <w:r>
              <w:rPr>
                <w:noProof/>
                <w:webHidden/>
              </w:rPr>
            </w:r>
            <w:r>
              <w:rPr>
                <w:noProof/>
                <w:webHidden/>
              </w:rPr>
              <w:fldChar w:fldCharType="separate"/>
            </w:r>
            <w:r>
              <w:rPr>
                <w:noProof/>
                <w:webHidden/>
              </w:rPr>
              <w:t>5</w:t>
            </w:r>
            <w:r>
              <w:rPr>
                <w:noProof/>
                <w:webHidden/>
              </w:rPr>
              <w:fldChar w:fldCharType="end"/>
            </w:r>
          </w:hyperlink>
        </w:p>
        <w:p w:rsidR="009D530D" w:rsidRDefault="009D530D">
          <w:pPr>
            <w:pStyle w:val="TOC2"/>
            <w:tabs>
              <w:tab w:val="right" w:leader="dot" w:pos="9350"/>
            </w:tabs>
            <w:rPr>
              <w:noProof/>
            </w:rPr>
          </w:pPr>
          <w:hyperlink w:anchor="_Toc240618565" w:history="1">
            <w:r w:rsidRPr="00D822DF">
              <w:rPr>
                <w:rStyle w:val="Hyperlink"/>
                <w:noProof/>
              </w:rPr>
              <w:t>6. Core Domain Modules</w:t>
            </w:r>
            <w:r>
              <w:rPr>
                <w:noProof/>
                <w:webHidden/>
              </w:rPr>
              <w:tab/>
            </w:r>
            <w:r>
              <w:rPr>
                <w:noProof/>
                <w:webHidden/>
              </w:rPr>
              <w:fldChar w:fldCharType="begin"/>
            </w:r>
            <w:r>
              <w:rPr>
                <w:noProof/>
                <w:webHidden/>
              </w:rPr>
              <w:instrText xml:space="preserve"> PAGEREF _Toc240618565 \h </w:instrText>
            </w:r>
            <w:r>
              <w:rPr>
                <w:noProof/>
                <w:webHidden/>
              </w:rPr>
            </w:r>
            <w:r>
              <w:rPr>
                <w:noProof/>
                <w:webHidden/>
              </w:rPr>
              <w:fldChar w:fldCharType="separate"/>
            </w:r>
            <w:r>
              <w:rPr>
                <w:noProof/>
                <w:webHidden/>
              </w:rPr>
              <w:t>6</w:t>
            </w:r>
            <w:r>
              <w:rPr>
                <w:noProof/>
                <w:webHidden/>
              </w:rPr>
              <w:fldChar w:fldCharType="end"/>
            </w:r>
          </w:hyperlink>
        </w:p>
        <w:p w:rsidR="009D530D" w:rsidRDefault="009D530D">
          <w:pPr>
            <w:pStyle w:val="TOC2"/>
            <w:tabs>
              <w:tab w:val="right" w:leader="dot" w:pos="9350"/>
            </w:tabs>
            <w:rPr>
              <w:noProof/>
            </w:rPr>
          </w:pPr>
          <w:hyperlink w:anchor="_Toc240618566" w:history="1">
            <w:r w:rsidRPr="00D822DF">
              <w:rPr>
                <w:rStyle w:val="Hyperlink"/>
                <w:noProof/>
              </w:rPr>
              <w:t>7. AI Agent Layer</w:t>
            </w:r>
            <w:r>
              <w:rPr>
                <w:noProof/>
                <w:webHidden/>
              </w:rPr>
              <w:tab/>
            </w:r>
            <w:r>
              <w:rPr>
                <w:noProof/>
                <w:webHidden/>
              </w:rPr>
              <w:fldChar w:fldCharType="begin"/>
            </w:r>
            <w:r>
              <w:rPr>
                <w:noProof/>
                <w:webHidden/>
              </w:rPr>
              <w:instrText xml:space="preserve"> PAGEREF _Toc240618566 \h </w:instrText>
            </w:r>
            <w:r>
              <w:rPr>
                <w:noProof/>
                <w:webHidden/>
              </w:rPr>
            </w:r>
            <w:r>
              <w:rPr>
                <w:noProof/>
                <w:webHidden/>
              </w:rPr>
              <w:fldChar w:fldCharType="separate"/>
            </w:r>
            <w:r>
              <w:rPr>
                <w:noProof/>
                <w:webHidden/>
              </w:rPr>
              <w:t>8</w:t>
            </w:r>
            <w:r>
              <w:rPr>
                <w:noProof/>
                <w:webHidden/>
              </w:rPr>
              <w:fldChar w:fldCharType="end"/>
            </w:r>
          </w:hyperlink>
        </w:p>
        <w:p w:rsidR="009D530D" w:rsidRDefault="009D530D">
          <w:pPr>
            <w:pStyle w:val="TOC2"/>
            <w:tabs>
              <w:tab w:val="right" w:leader="dot" w:pos="9350"/>
            </w:tabs>
            <w:rPr>
              <w:noProof/>
            </w:rPr>
          </w:pPr>
          <w:hyperlink w:anchor="_Toc240618567" w:history="1">
            <w:r w:rsidRPr="00D822DF">
              <w:rPr>
                <w:rStyle w:val="Hyperlink"/>
                <w:noProof/>
              </w:rPr>
              <w:t>8. Data Architecture</w:t>
            </w:r>
            <w:r>
              <w:rPr>
                <w:noProof/>
                <w:webHidden/>
              </w:rPr>
              <w:tab/>
            </w:r>
            <w:r>
              <w:rPr>
                <w:noProof/>
                <w:webHidden/>
              </w:rPr>
              <w:fldChar w:fldCharType="begin"/>
            </w:r>
            <w:r>
              <w:rPr>
                <w:noProof/>
                <w:webHidden/>
              </w:rPr>
              <w:instrText xml:space="preserve"> PAGEREF _Toc240618567 \h </w:instrText>
            </w:r>
            <w:r>
              <w:rPr>
                <w:noProof/>
                <w:webHidden/>
              </w:rPr>
            </w:r>
            <w:r>
              <w:rPr>
                <w:noProof/>
                <w:webHidden/>
              </w:rPr>
              <w:fldChar w:fldCharType="separate"/>
            </w:r>
            <w:r>
              <w:rPr>
                <w:noProof/>
                <w:webHidden/>
              </w:rPr>
              <w:t>9</w:t>
            </w:r>
            <w:r>
              <w:rPr>
                <w:noProof/>
                <w:webHidden/>
              </w:rPr>
              <w:fldChar w:fldCharType="end"/>
            </w:r>
          </w:hyperlink>
        </w:p>
        <w:p w:rsidR="009D530D" w:rsidRDefault="009D530D">
          <w:pPr>
            <w:pStyle w:val="TOC2"/>
            <w:tabs>
              <w:tab w:val="right" w:leader="dot" w:pos="9350"/>
            </w:tabs>
            <w:rPr>
              <w:noProof/>
            </w:rPr>
          </w:pPr>
          <w:hyperlink w:anchor="_Toc240618568" w:history="1">
            <w:r w:rsidRPr="00D822DF">
              <w:rPr>
                <w:rStyle w:val="Hyperlink"/>
                <w:noProof/>
              </w:rPr>
              <w:t>9. API Architecture</w:t>
            </w:r>
            <w:r>
              <w:rPr>
                <w:noProof/>
                <w:webHidden/>
              </w:rPr>
              <w:tab/>
            </w:r>
            <w:r>
              <w:rPr>
                <w:noProof/>
                <w:webHidden/>
              </w:rPr>
              <w:fldChar w:fldCharType="begin"/>
            </w:r>
            <w:r>
              <w:rPr>
                <w:noProof/>
                <w:webHidden/>
              </w:rPr>
              <w:instrText xml:space="preserve"> PAGEREF _Toc240618568 \h </w:instrText>
            </w:r>
            <w:r>
              <w:rPr>
                <w:noProof/>
                <w:webHidden/>
              </w:rPr>
            </w:r>
            <w:r>
              <w:rPr>
                <w:noProof/>
                <w:webHidden/>
              </w:rPr>
              <w:fldChar w:fldCharType="separate"/>
            </w:r>
            <w:r>
              <w:rPr>
                <w:noProof/>
                <w:webHidden/>
              </w:rPr>
              <w:t>9</w:t>
            </w:r>
            <w:r>
              <w:rPr>
                <w:noProof/>
                <w:webHidden/>
              </w:rPr>
              <w:fldChar w:fldCharType="end"/>
            </w:r>
          </w:hyperlink>
        </w:p>
        <w:p w:rsidR="009D530D" w:rsidRDefault="009D530D">
          <w:pPr>
            <w:pStyle w:val="TOC2"/>
            <w:tabs>
              <w:tab w:val="right" w:leader="dot" w:pos="9350"/>
            </w:tabs>
            <w:rPr>
              <w:noProof/>
            </w:rPr>
          </w:pPr>
          <w:hyperlink w:anchor="_Toc240618569" w:history="1">
            <w:r w:rsidRPr="00D822DF">
              <w:rPr>
                <w:rStyle w:val="Hyperlink"/>
                <w:noProof/>
              </w:rPr>
              <w:t>10. Security &amp; Compliance</w:t>
            </w:r>
            <w:r>
              <w:rPr>
                <w:noProof/>
                <w:webHidden/>
              </w:rPr>
              <w:tab/>
            </w:r>
            <w:r>
              <w:rPr>
                <w:noProof/>
                <w:webHidden/>
              </w:rPr>
              <w:fldChar w:fldCharType="begin"/>
            </w:r>
            <w:r>
              <w:rPr>
                <w:noProof/>
                <w:webHidden/>
              </w:rPr>
              <w:instrText xml:space="preserve"> PAGEREF _Toc240618569 \h </w:instrText>
            </w:r>
            <w:r>
              <w:rPr>
                <w:noProof/>
                <w:webHidden/>
              </w:rPr>
            </w:r>
            <w:r>
              <w:rPr>
                <w:noProof/>
                <w:webHidden/>
              </w:rPr>
              <w:fldChar w:fldCharType="separate"/>
            </w:r>
            <w:r>
              <w:rPr>
                <w:noProof/>
                <w:webHidden/>
              </w:rPr>
              <w:t>10</w:t>
            </w:r>
            <w:r>
              <w:rPr>
                <w:noProof/>
                <w:webHidden/>
              </w:rPr>
              <w:fldChar w:fldCharType="end"/>
            </w:r>
          </w:hyperlink>
        </w:p>
        <w:p w:rsidR="009D530D" w:rsidRDefault="009D530D">
          <w:pPr>
            <w:pStyle w:val="TOC2"/>
            <w:tabs>
              <w:tab w:val="right" w:leader="dot" w:pos="9350"/>
            </w:tabs>
            <w:rPr>
              <w:noProof/>
            </w:rPr>
          </w:pPr>
          <w:hyperlink w:anchor="_Toc240618570" w:history="1">
            <w:r w:rsidRPr="00D822DF">
              <w:rPr>
                <w:rStyle w:val="Hyperlink"/>
                <w:noProof/>
              </w:rPr>
              <w:t>11. Integration Ecosystem</w:t>
            </w:r>
            <w:r>
              <w:rPr>
                <w:noProof/>
                <w:webHidden/>
              </w:rPr>
              <w:tab/>
            </w:r>
            <w:r>
              <w:rPr>
                <w:noProof/>
                <w:webHidden/>
              </w:rPr>
              <w:fldChar w:fldCharType="begin"/>
            </w:r>
            <w:r>
              <w:rPr>
                <w:noProof/>
                <w:webHidden/>
              </w:rPr>
              <w:instrText xml:space="preserve"> PAGEREF _Toc240618570 \h </w:instrText>
            </w:r>
            <w:r>
              <w:rPr>
                <w:noProof/>
                <w:webHidden/>
              </w:rPr>
            </w:r>
            <w:r>
              <w:rPr>
                <w:noProof/>
                <w:webHidden/>
              </w:rPr>
              <w:fldChar w:fldCharType="separate"/>
            </w:r>
            <w:r>
              <w:rPr>
                <w:noProof/>
                <w:webHidden/>
              </w:rPr>
              <w:t>10</w:t>
            </w:r>
            <w:r>
              <w:rPr>
                <w:noProof/>
                <w:webHidden/>
              </w:rPr>
              <w:fldChar w:fldCharType="end"/>
            </w:r>
          </w:hyperlink>
        </w:p>
        <w:p w:rsidR="009D530D" w:rsidRDefault="009D530D">
          <w:pPr>
            <w:pStyle w:val="TOC2"/>
            <w:tabs>
              <w:tab w:val="right" w:leader="dot" w:pos="9350"/>
            </w:tabs>
            <w:rPr>
              <w:noProof/>
            </w:rPr>
          </w:pPr>
          <w:hyperlink w:anchor="_Toc240618571" w:history="1">
            <w:r w:rsidRPr="00D822DF">
              <w:rPr>
                <w:rStyle w:val="Hyperlink"/>
                <w:noProof/>
              </w:rPr>
              <w:t>12. Infrastructure &amp; DevOps</w:t>
            </w:r>
            <w:r>
              <w:rPr>
                <w:noProof/>
                <w:webHidden/>
              </w:rPr>
              <w:tab/>
            </w:r>
            <w:r>
              <w:rPr>
                <w:noProof/>
                <w:webHidden/>
              </w:rPr>
              <w:fldChar w:fldCharType="begin"/>
            </w:r>
            <w:r>
              <w:rPr>
                <w:noProof/>
                <w:webHidden/>
              </w:rPr>
              <w:instrText xml:space="preserve"> PAGEREF _Toc240618571 \h </w:instrText>
            </w:r>
            <w:r>
              <w:rPr>
                <w:noProof/>
                <w:webHidden/>
              </w:rPr>
            </w:r>
            <w:r>
              <w:rPr>
                <w:noProof/>
                <w:webHidden/>
              </w:rPr>
              <w:fldChar w:fldCharType="separate"/>
            </w:r>
            <w:r>
              <w:rPr>
                <w:noProof/>
                <w:webHidden/>
              </w:rPr>
              <w:t>11</w:t>
            </w:r>
            <w:r>
              <w:rPr>
                <w:noProof/>
                <w:webHidden/>
              </w:rPr>
              <w:fldChar w:fldCharType="end"/>
            </w:r>
          </w:hyperlink>
        </w:p>
        <w:p w:rsidR="009D530D" w:rsidRDefault="009D530D">
          <w:pPr>
            <w:pStyle w:val="TOC2"/>
            <w:tabs>
              <w:tab w:val="right" w:leader="dot" w:pos="9350"/>
            </w:tabs>
            <w:rPr>
              <w:noProof/>
            </w:rPr>
          </w:pPr>
          <w:hyperlink w:anchor="_Toc240618572" w:history="1">
            <w:r w:rsidRPr="00D822DF">
              <w:rPr>
                <w:rStyle w:val="Hyperlink"/>
                <w:noProof/>
              </w:rPr>
              <w:t>13. SaaS Business Layer</w:t>
            </w:r>
            <w:r>
              <w:rPr>
                <w:noProof/>
                <w:webHidden/>
              </w:rPr>
              <w:tab/>
            </w:r>
            <w:r>
              <w:rPr>
                <w:noProof/>
                <w:webHidden/>
              </w:rPr>
              <w:fldChar w:fldCharType="begin"/>
            </w:r>
            <w:r>
              <w:rPr>
                <w:noProof/>
                <w:webHidden/>
              </w:rPr>
              <w:instrText xml:space="preserve"> PAGEREF _Toc240618572 \h </w:instrText>
            </w:r>
            <w:r>
              <w:rPr>
                <w:noProof/>
                <w:webHidden/>
              </w:rPr>
            </w:r>
            <w:r>
              <w:rPr>
                <w:noProof/>
                <w:webHidden/>
              </w:rPr>
              <w:fldChar w:fldCharType="separate"/>
            </w:r>
            <w:r>
              <w:rPr>
                <w:noProof/>
                <w:webHidden/>
              </w:rPr>
              <w:t>11</w:t>
            </w:r>
            <w:r>
              <w:rPr>
                <w:noProof/>
                <w:webHidden/>
              </w:rPr>
              <w:fldChar w:fldCharType="end"/>
            </w:r>
          </w:hyperlink>
        </w:p>
        <w:p w:rsidR="009D530D" w:rsidRDefault="009D530D">
          <w:pPr>
            <w:pStyle w:val="TOC2"/>
            <w:tabs>
              <w:tab w:val="right" w:leader="dot" w:pos="9350"/>
            </w:tabs>
            <w:rPr>
              <w:noProof/>
            </w:rPr>
          </w:pPr>
          <w:hyperlink w:anchor="_Toc240618573" w:history="1">
            <w:r w:rsidRPr="00D822DF">
              <w:rPr>
                <w:rStyle w:val="Hyperlink"/>
                <w:noProof/>
              </w:rPr>
              <w:t>14. Scalability &amp; Reliability</w:t>
            </w:r>
            <w:r>
              <w:rPr>
                <w:noProof/>
                <w:webHidden/>
              </w:rPr>
              <w:tab/>
            </w:r>
            <w:r>
              <w:rPr>
                <w:noProof/>
                <w:webHidden/>
              </w:rPr>
              <w:fldChar w:fldCharType="begin"/>
            </w:r>
            <w:r>
              <w:rPr>
                <w:noProof/>
                <w:webHidden/>
              </w:rPr>
              <w:instrText xml:space="preserve"> PAGEREF _Toc240618573 \h </w:instrText>
            </w:r>
            <w:r>
              <w:rPr>
                <w:noProof/>
                <w:webHidden/>
              </w:rPr>
            </w:r>
            <w:r>
              <w:rPr>
                <w:noProof/>
                <w:webHidden/>
              </w:rPr>
              <w:fldChar w:fldCharType="separate"/>
            </w:r>
            <w:r>
              <w:rPr>
                <w:noProof/>
                <w:webHidden/>
              </w:rPr>
              <w:t>12</w:t>
            </w:r>
            <w:r>
              <w:rPr>
                <w:noProof/>
                <w:webHidden/>
              </w:rPr>
              <w:fldChar w:fldCharType="end"/>
            </w:r>
          </w:hyperlink>
        </w:p>
        <w:p w:rsidR="009D530D" w:rsidRDefault="009D530D">
          <w:pPr>
            <w:pStyle w:val="TOC2"/>
            <w:tabs>
              <w:tab w:val="right" w:leader="dot" w:pos="9350"/>
            </w:tabs>
            <w:rPr>
              <w:noProof/>
            </w:rPr>
          </w:pPr>
          <w:hyperlink w:anchor="_Toc240618574" w:history="1">
            <w:r w:rsidRPr="00D822DF">
              <w:rPr>
                <w:rStyle w:val="Hyperlink"/>
                <w:noProof/>
              </w:rPr>
              <w:t>15. Suggested Repository Structure (for an AI coding agent to scaffold)</w:t>
            </w:r>
            <w:r>
              <w:rPr>
                <w:noProof/>
                <w:webHidden/>
              </w:rPr>
              <w:tab/>
            </w:r>
            <w:r>
              <w:rPr>
                <w:noProof/>
                <w:webHidden/>
              </w:rPr>
              <w:fldChar w:fldCharType="begin"/>
            </w:r>
            <w:r>
              <w:rPr>
                <w:noProof/>
                <w:webHidden/>
              </w:rPr>
              <w:instrText xml:space="preserve"> PAGEREF _Toc240618574 \h </w:instrText>
            </w:r>
            <w:r>
              <w:rPr>
                <w:noProof/>
                <w:webHidden/>
              </w:rPr>
            </w:r>
            <w:r>
              <w:rPr>
                <w:noProof/>
                <w:webHidden/>
              </w:rPr>
              <w:fldChar w:fldCharType="separate"/>
            </w:r>
            <w:r>
              <w:rPr>
                <w:noProof/>
                <w:webHidden/>
              </w:rPr>
              <w:t>12</w:t>
            </w:r>
            <w:r>
              <w:rPr>
                <w:noProof/>
                <w:webHidden/>
              </w:rPr>
              <w:fldChar w:fldCharType="end"/>
            </w:r>
          </w:hyperlink>
        </w:p>
        <w:p w:rsidR="009D530D" w:rsidRDefault="009D530D">
          <w:pPr>
            <w:pStyle w:val="TOC2"/>
            <w:tabs>
              <w:tab w:val="right" w:leader="dot" w:pos="9350"/>
            </w:tabs>
            <w:rPr>
              <w:noProof/>
            </w:rPr>
          </w:pPr>
          <w:hyperlink w:anchor="_Toc240618575" w:history="1">
            <w:r w:rsidRPr="00D822DF">
              <w:rPr>
                <w:rStyle w:val="Hyperlink"/>
                <w:noProof/>
              </w:rPr>
              <w:t>16. Phased Delivery Roadmap</w:t>
            </w:r>
            <w:r>
              <w:rPr>
                <w:noProof/>
                <w:webHidden/>
              </w:rPr>
              <w:tab/>
            </w:r>
            <w:r>
              <w:rPr>
                <w:noProof/>
                <w:webHidden/>
              </w:rPr>
              <w:fldChar w:fldCharType="begin"/>
            </w:r>
            <w:r>
              <w:rPr>
                <w:noProof/>
                <w:webHidden/>
              </w:rPr>
              <w:instrText xml:space="preserve"> PAGEREF _Toc240618575 \h </w:instrText>
            </w:r>
            <w:r>
              <w:rPr>
                <w:noProof/>
                <w:webHidden/>
              </w:rPr>
            </w:r>
            <w:r>
              <w:rPr>
                <w:noProof/>
                <w:webHidden/>
              </w:rPr>
              <w:fldChar w:fldCharType="separate"/>
            </w:r>
            <w:r>
              <w:rPr>
                <w:noProof/>
                <w:webHidden/>
              </w:rPr>
              <w:t>13</w:t>
            </w:r>
            <w:r>
              <w:rPr>
                <w:noProof/>
                <w:webHidden/>
              </w:rPr>
              <w:fldChar w:fldCharType="end"/>
            </w:r>
          </w:hyperlink>
        </w:p>
        <w:p w:rsidR="009D530D" w:rsidRDefault="009D530D">
          <w:pPr>
            <w:pStyle w:val="TOC2"/>
            <w:tabs>
              <w:tab w:val="right" w:leader="dot" w:pos="9350"/>
            </w:tabs>
            <w:rPr>
              <w:noProof/>
            </w:rPr>
          </w:pPr>
          <w:hyperlink w:anchor="_Toc240618576" w:history="1">
            <w:r w:rsidRPr="00D822DF">
              <w:rPr>
                <w:rStyle w:val="Hyperlink"/>
                <w:noProof/>
              </w:rPr>
              <w:t>Next Steps</w:t>
            </w:r>
            <w:r>
              <w:rPr>
                <w:noProof/>
                <w:webHidden/>
              </w:rPr>
              <w:tab/>
            </w:r>
            <w:r>
              <w:rPr>
                <w:noProof/>
                <w:webHidden/>
              </w:rPr>
              <w:fldChar w:fldCharType="begin"/>
            </w:r>
            <w:r>
              <w:rPr>
                <w:noProof/>
                <w:webHidden/>
              </w:rPr>
              <w:instrText xml:space="preserve"> PAGEREF _Toc240618576 \h </w:instrText>
            </w:r>
            <w:r>
              <w:rPr>
                <w:noProof/>
                <w:webHidden/>
              </w:rPr>
            </w:r>
            <w:r>
              <w:rPr>
                <w:noProof/>
                <w:webHidden/>
              </w:rPr>
              <w:fldChar w:fldCharType="separate"/>
            </w:r>
            <w:r>
              <w:rPr>
                <w:noProof/>
                <w:webHidden/>
              </w:rPr>
              <w:t>14</w:t>
            </w:r>
            <w:r>
              <w:rPr>
                <w:noProof/>
                <w:webHidden/>
              </w:rPr>
              <w:fldChar w:fldCharType="end"/>
            </w:r>
          </w:hyperlink>
        </w:p>
        <w:p w:rsidR="0088398C" w:rsidRDefault="00097E4F">
          <w:r>
            <w:fldChar w:fldCharType="end"/>
          </w:r>
        </w:p>
      </w:sdtContent>
    </w:sdt>
    <w:p w:rsidR="0088398C" w:rsidRDefault="00097E4F">
      <w:pPr>
        <w:pStyle w:val="Heading1"/>
      </w:pPr>
      <w:bookmarkStart w:id="0" w:name="hrms-saas-platform-system-architecture"/>
      <w:bookmarkStart w:id="1" w:name="_Toc240618558"/>
      <w:r>
        <w:t>HRMS SaaS Platform — System Architecture</w:t>
      </w:r>
      <w:bookmarkEnd w:id="1"/>
    </w:p>
    <w:p w:rsidR="0088398C" w:rsidRDefault="00097E4F">
      <w:pPr>
        <w:pStyle w:val="FirstParagraph"/>
      </w:pPr>
      <w:r>
        <w:rPr>
          <w:b/>
          <w:bCs/>
        </w:rPr>
        <w:t>Purpose of this document:</w:t>
      </w:r>
      <w:r>
        <w:t xml:space="preserve"> </w:t>
      </w:r>
      <w:r>
        <w:t>A complete, implementation-ready architecture for a multi-tenant Human Resource Management System (HRMS) delivered as SaaS. It is written to be handed directly to an engineering team or an AI coding agent (e.g. Claude Code) to scaffold and build the system</w:t>
      </w:r>
      <w:r>
        <w:t xml:space="preserve"> module by module.</w:t>
      </w:r>
    </w:p>
    <w:p w:rsidR="0088398C" w:rsidRDefault="00097E4F">
      <w:r>
        <w:pict>
          <v:rect id="_x0000_i1025" style="width:0;height:1.5pt" o:hralign="center" o:hrstd="t" o:hr="t"/>
        </w:pict>
      </w:r>
    </w:p>
    <w:p w:rsidR="0088398C" w:rsidRDefault="00097E4F">
      <w:pPr>
        <w:pStyle w:val="Heading2"/>
      </w:pPr>
      <w:bookmarkStart w:id="2" w:name="vision-scope"/>
      <w:bookmarkStart w:id="3" w:name="_Toc240618559"/>
      <w:r>
        <w:t>1. Vision &amp; Scope</w:t>
      </w:r>
      <w:bookmarkEnd w:id="3"/>
    </w:p>
    <w:p w:rsidR="0088398C" w:rsidRDefault="00097E4F">
      <w:pPr>
        <w:pStyle w:val="FirstParagraph"/>
      </w:pPr>
      <w:r>
        <w:t xml:space="preserve">A single platform that takes an employee from </w:t>
      </w:r>
      <w:r>
        <w:rPr>
          <w:b/>
          <w:bCs/>
        </w:rPr>
        <w:t>hire to retire</w:t>
      </w:r>
      <w:r>
        <w:t>:</w:t>
      </w:r>
    </w:p>
    <w:p w:rsidR="0088398C" w:rsidRDefault="00097E4F">
      <w:pPr>
        <w:pStyle w:val="Compact"/>
        <w:numPr>
          <w:ilvl w:val="0"/>
          <w:numId w:val="2"/>
        </w:numPr>
      </w:pPr>
      <w:r>
        <w:t>Recruitment &amp; Applicant Tracking (ATS)</w:t>
      </w:r>
    </w:p>
    <w:p w:rsidR="0088398C" w:rsidRDefault="00097E4F">
      <w:pPr>
        <w:pStyle w:val="Compact"/>
        <w:numPr>
          <w:ilvl w:val="0"/>
          <w:numId w:val="2"/>
        </w:numPr>
      </w:pPr>
      <w:r>
        <w:t>Onboarding / Offboarding</w:t>
      </w:r>
    </w:p>
    <w:p w:rsidR="0088398C" w:rsidRDefault="00097E4F">
      <w:pPr>
        <w:pStyle w:val="Compact"/>
        <w:numPr>
          <w:ilvl w:val="0"/>
          <w:numId w:val="2"/>
        </w:numPr>
      </w:pPr>
      <w:r>
        <w:t>Core HR (employee records, org structure)</w:t>
      </w:r>
    </w:p>
    <w:p w:rsidR="0088398C" w:rsidRDefault="00097E4F">
      <w:pPr>
        <w:pStyle w:val="Compact"/>
        <w:numPr>
          <w:ilvl w:val="0"/>
          <w:numId w:val="2"/>
        </w:numPr>
      </w:pPr>
      <w:r>
        <w:lastRenderedPageBreak/>
        <w:t>Time &amp; Attendance</w:t>
      </w:r>
    </w:p>
    <w:p w:rsidR="0088398C" w:rsidRDefault="00097E4F">
      <w:pPr>
        <w:pStyle w:val="Compact"/>
        <w:numPr>
          <w:ilvl w:val="0"/>
          <w:numId w:val="2"/>
        </w:numPr>
      </w:pPr>
      <w:r>
        <w:t>Leave Management</w:t>
      </w:r>
    </w:p>
    <w:p w:rsidR="0088398C" w:rsidRDefault="00097E4F">
      <w:pPr>
        <w:pStyle w:val="Compact"/>
        <w:numPr>
          <w:ilvl w:val="0"/>
          <w:numId w:val="2"/>
        </w:numPr>
      </w:pPr>
      <w:r>
        <w:t>Payroll &amp; Comp</w:t>
      </w:r>
      <w:r>
        <w:t>ensation</w:t>
      </w:r>
    </w:p>
    <w:p w:rsidR="0088398C" w:rsidRDefault="00097E4F">
      <w:pPr>
        <w:pStyle w:val="Compact"/>
        <w:numPr>
          <w:ilvl w:val="0"/>
          <w:numId w:val="2"/>
        </w:numPr>
      </w:pPr>
      <w:r>
        <w:t>Performance Management</w:t>
      </w:r>
    </w:p>
    <w:p w:rsidR="0088398C" w:rsidRDefault="00097E4F">
      <w:pPr>
        <w:pStyle w:val="Compact"/>
        <w:numPr>
          <w:ilvl w:val="0"/>
          <w:numId w:val="2"/>
        </w:numPr>
      </w:pPr>
      <w:r>
        <w:t>Benefits Administration</w:t>
      </w:r>
    </w:p>
    <w:p w:rsidR="0088398C" w:rsidRDefault="00097E4F">
      <w:pPr>
        <w:pStyle w:val="Compact"/>
        <w:numPr>
          <w:ilvl w:val="0"/>
          <w:numId w:val="2"/>
        </w:numPr>
      </w:pPr>
      <w:r>
        <w:t>Learning &amp; Development (L&amp;D)</w:t>
      </w:r>
    </w:p>
    <w:p w:rsidR="0088398C" w:rsidRDefault="00097E4F">
      <w:pPr>
        <w:pStyle w:val="Compact"/>
        <w:numPr>
          <w:ilvl w:val="0"/>
          <w:numId w:val="2"/>
        </w:numPr>
      </w:pPr>
      <w:r>
        <w:t>Employee Self-Service (ESS) &amp; Manager Self-Service (MSS)</w:t>
      </w:r>
    </w:p>
    <w:p w:rsidR="0088398C" w:rsidRDefault="00097E4F">
      <w:pPr>
        <w:pStyle w:val="Compact"/>
        <w:numPr>
          <w:ilvl w:val="0"/>
          <w:numId w:val="2"/>
        </w:numPr>
      </w:pPr>
      <w:r>
        <w:t>Analytics, Reporting &amp; Compliance</w:t>
      </w:r>
    </w:p>
    <w:p w:rsidR="0088398C" w:rsidRDefault="00097E4F">
      <w:pPr>
        <w:pStyle w:val="Compact"/>
        <w:numPr>
          <w:ilvl w:val="0"/>
          <w:numId w:val="2"/>
        </w:numPr>
      </w:pPr>
      <w:r>
        <w:t xml:space="preserve">An </w:t>
      </w:r>
      <w:r>
        <w:rPr>
          <w:b/>
          <w:bCs/>
        </w:rPr>
        <w:t>AI Agent Layer</w:t>
      </w:r>
      <w:r>
        <w:t xml:space="preserve"> that sits across all modules (resume screening, HR chatbot, po</w:t>
      </w:r>
      <w:r>
        <w:t>licy Q&amp;A, attrition prediction, workflow automation)</w:t>
      </w:r>
    </w:p>
    <w:p w:rsidR="0088398C" w:rsidRDefault="00097E4F">
      <w:pPr>
        <w:pStyle w:val="FirstParagraph"/>
      </w:pPr>
      <w:r>
        <w:t>Delivered multi-tenant, so any number of companies (“tenants”) run on shared infrastructure with strict data isolation, tiered pricing, and self-service signup.</w:t>
      </w:r>
    </w:p>
    <w:p w:rsidR="0088398C" w:rsidRDefault="00097E4F">
      <w:r>
        <w:pict>
          <v:rect id="_x0000_i1026" style="width:0;height:1.5pt" o:hralign="center" o:hrstd="t" o:hr="t"/>
        </w:pict>
      </w:r>
    </w:p>
    <w:p w:rsidR="0088398C" w:rsidRDefault="00097E4F">
      <w:pPr>
        <w:pStyle w:val="Heading2"/>
      </w:pPr>
      <w:bookmarkStart w:id="4" w:name="guiding-architectural-principles"/>
      <w:bookmarkStart w:id="5" w:name="_Toc240618560"/>
      <w:bookmarkEnd w:id="2"/>
      <w:r>
        <w:t>2. Guiding Architectural Principles</w:t>
      </w:r>
      <w:bookmarkEnd w:id="5"/>
    </w:p>
    <w:p w:rsidR="0088398C" w:rsidRDefault="00097E4F">
      <w:pPr>
        <w:pStyle w:val="Compact"/>
        <w:numPr>
          <w:ilvl w:val="0"/>
          <w:numId w:val="3"/>
        </w:numPr>
      </w:pPr>
      <w:r>
        <w:rPr>
          <w:b/>
          <w:bCs/>
        </w:rPr>
        <w:t>Modu</w:t>
      </w:r>
      <w:r>
        <w:rPr>
          <w:b/>
          <w:bCs/>
        </w:rPr>
        <w:t>lar monolith first, microservices later.</w:t>
      </w:r>
      <w:r>
        <w:t xml:space="preserve"> Build as one deployable codebase organized into strict domain modules with clean interfaces. Extract a module into its own service only when scale/team-size actually demands it (e.g. Payroll, Notifications, AI Agent</w:t>
      </w:r>
      <w:r>
        <w:t>). This is dramatically easier to build correctly and cheaper to run at SaaS-startup scale than premature microservices.</w:t>
      </w:r>
    </w:p>
    <w:p w:rsidR="0088398C" w:rsidRDefault="00097E4F">
      <w:pPr>
        <w:pStyle w:val="Compact"/>
        <w:numPr>
          <w:ilvl w:val="0"/>
          <w:numId w:val="3"/>
        </w:numPr>
      </w:pPr>
      <w:r>
        <w:rPr>
          <w:b/>
          <w:bCs/>
        </w:rPr>
        <w:t>Multi-tenant by default.</w:t>
      </w:r>
      <w:r>
        <w:t xml:space="preserve"> Every table, every query, every cache key is tenant-scoped from day one — retrofitting tenancy later is one of</w:t>
      </w:r>
      <w:r>
        <w:t xml:space="preserve"> the most expensive SaaS mistakes.</w:t>
      </w:r>
    </w:p>
    <w:p w:rsidR="0088398C" w:rsidRDefault="00097E4F">
      <w:pPr>
        <w:pStyle w:val="Compact"/>
        <w:numPr>
          <w:ilvl w:val="0"/>
          <w:numId w:val="3"/>
        </w:numPr>
      </w:pPr>
      <w:r>
        <w:rPr>
          <w:b/>
          <w:bCs/>
        </w:rPr>
        <w:t>API-first.</w:t>
      </w:r>
      <w:r>
        <w:t xml:space="preserve"> The frontend, mobile apps, integrations, and the AI agent all consume the same versioned API. No backend logic lives only in the UI.</w:t>
      </w:r>
    </w:p>
    <w:p w:rsidR="0088398C" w:rsidRDefault="00097E4F">
      <w:pPr>
        <w:pStyle w:val="Compact"/>
        <w:numPr>
          <w:ilvl w:val="0"/>
          <w:numId w:val="3"/>
        </w:numPr>
      </w:pPr>
      <w:r>
        <w:rPr>
          <w:b/>
          <w:bCs/>
        </w:rPr>
        <w:t>Event-driven where it matters.</w:t>
      </w:r>
      <w:r>
        <w:t xml:space="preserve"> State changes that other modules care about (e</w:t>
      </w:r>
      <w:r>
        <w:t>mployee hired, leave approved, payroll run completed) are published as domain events on a message bus, not hard-coded cross-module calls.</w:t>
      </w:r>
    </w:p>
    <w:p w:rsidR="0088398C" w:rsidRDefault="00097E4F">
      <w:pPr>
        <w:pStyle w:val="Compact"/>
        <w:numPr>
          <w:ilvl w:val="0"/>
          <w:numId w:val="3"/>
        </w:numPr>
      </w:pPr>
      <w:r>
        <w:rPr>
          <w:b/>
          <w:bCs/>
        </w:rPr>
        <w:t>Compliance and audit are first-class, not bolted on.</w:t>
      </w:r>
      <w:r>
        <w:t xml:space="preserve"> Every record change is audit-logged; PII is encrypted; regional d</w:t>
      </w:r>
      <w:r>
        <w:t>ata residency is a config, not a rewrite.</w:t>
      </w:r>
    </w:p>
    <w:p w:rsidR="0088398C" w:rsidRDefault="00097E4F">
      <w:pPr>
        <w:pStyle w:val="Compact"/>
        <w:numPr>
          <w:ilvl w:val="0"/>
          <w:numId w:val="3"/>
        </w:numPr>
      </w:pPr>
      <w:r>
        <w:rPr>
          <w:b/>
          <w:bCs/>
        </w:rPr>
        <w:t>AI is a layer, not a feature.</w:t>
      </w:r>
      <w:r>
        <w:t xml:space="preserve"> The AI agent has its own service boundary, its own permission model, and reads/writes through the same APIs as a human user — it does not get backdoor DB access.</w:t>
      </w:r>
    </w:p>
    <w:p w:rsidR="0088398C" w:rsidRDefault="00097E4F">
      <w:r>
        <w:pict>
          <v:rect id="_x0000_i1027" style="width:0;height:1.5pt" o:hralign="center" o:hrstd="t" o:hr="t"/>
        </w:pict>
      </w:r>
    </w:p>
    <w:p w:rsidR="0088398C" w:rsidRDefault="00097E4F">
      <w:pPr>
        <w:pStyle w:val="Heading2"/>
      </w:pPr>
      <w:bookmarkStart w:id="6" w:name="high-level-architecture"/>
      <w:bookmarkStart w:id="7" w:name="_Toc240618561"/>
      <w:bookmarkEnd w:id="4"/>
      <w:r>
        <w:lastRenderedPageBreak/>
        <w:t>3. High-Level Architecture</w:t>
      </w:r>
      <w:bookmarkEnd w:id="7"/>
    </w:p>
    <w:p w:rsidR="0088398C" w:rsidRDefault="00097E4F">
      <w:pPr>
        <w:pStyle w:val="CaptionedFigure"/>
      </w:pPr>
      <w:bookmarkStart w:id="8" w:name="_GoBack"/>
      <w:r>
        <w:rPr>
          <w:noProof/>
        </w:rPr>
        <w:drawing>
          <wp:inline distT="0" distB="0" distL="0" distR="0">
            <wp:extent cx="5334000" cy="2346960"/>
            <wp:effectExtent l="0" t="0" r="0" b="0"/>
            <wp:docPr id="23" name="Picture" descr="High-level system architecture"/>
            <wp:cNvGraphicFramePr/>
            <a:graphic xmlns:a="http://schemas.openxmlformats.org/drawingml/2006/main">
              <a:graphicData uri="http://schemas.openxmlformats.org/drawingml/2006/picture">
                <pic:pic xmlns:pic="http://schemas.openxmlformats.org/drawingml/2006/picture">
                  <pic:nvPicPr>
                    <pic:cNvPr id="24" name="Picture" descr="diagrams/diagram1.png"/>
                    <pic:cNvPicPr>
                      <a:picLocks noChangeAspect="1" noChangeArrowheads="1"/>
                    </pic:cNvPicPr>
                  </pic:nvPicPr>
                  <pic:blipFill>
                    <a:blip r:embed="rId7"/>
                    <a:stretch>
                      <a:fillRect/>
                    </a:stretch>
                  </pic:blipFill>
                  <pic:spPr bwMode="auto">
                    <a:xfrm>
                      <a:off x="0" y="0"/>
                      <a:ext cx="5334000" cy="2346960"/>
                    </a:xfrm>
                    <a:prstGeom prst="rect">
                      <a:avLst/>
                    </a:prstGeom>
                    <a:noFill/>
                    <a:ln w="9525">
                      <a:noFill/>
                      <a:headEnd/>
                      <a:tailEnd/>
                    </a:ln>
                  </pic:spPr>
                </pic:pic>
              </a:graphicData>
            </a:graphic>
          </wp:inline>
        </w:drawing>
      </w:r>
      <w:bookmarkEnd w:id="8"/>
    </w:p>
    <w:p w:rsidR="0088398C" w:rsidRDefault="00097E4F">
      <w:pPr>
        <w:pStyle w:val="ImageCaption"/>
      </w:pPr>
      <w:r>
        <w:t>High-level system architecture</w:t>
      </w:r>
    </w:p>
    <w:p w:rsidR="0088398C" w:rsidRDefault="00097E4F">
      <w:pPr>
        <w:pStyle w:val="BodyText"/>
      </w:pPr>
      <w:r>
        <w:rPr>
          <w:b/>
          <w:bCs/>
        </w:rPr>
        <w:t>Why this shape:</w:t>
      </w:r>
      <w:r>
        <w:t xml:space="preserve"> the gateway is the single entry point (auth, rate limiting, tenant resolution). The core modules share a database and deployment unit to start, but are coded as if they were servic</w:t>
      </w:r>
      <w:r>
        <w:t>es (own schema namespace, own internal API, no reaching into another module’s tables). Payroll, Notifications, the AI Agent, Billing and Reporting are pulled out early because they have different scaling/security/compliance profiles (payroll = financial co</w:t>
      </w:r>
      <w:r>
        <w:t>mpliance, AI agent = different runtime/cost model, reporting = read-heavy/OLAP).</w:t>
      </w:r>
    </w:p>
    <w:p w:rsidR="0088398C" w:rsidRDefault="00097E4F">
      <w:r>
        <w:pict>
          <v:rect id="_x0000_i1028" style="width:0;height:1.5pt" o:hralign="center" o:hrstd="t" o:hr="t"/>
        </w:pict>
      </w:r>
    </w:p>
    <w:p w:rsidR="0088398C" w:rsidRDefault="00097E4F">
      <w:pPr>
        <w:pStyle w:val="Heading2"/>
      </w:pPr>
      <w:bookmarkStart w:id="9" w:name="multi-tenancy-model"/>
      <w:bookmarkStart w:id="10" w:name="_Toc240618562"/>
      <w:bookmarkEnd w:id="6"/>
      <w:r>
        <w:t>4. Multi-Tenancy Model</w:t>
      </w:r>
      <w:bookmarkEnd w:id="10"/>
    </w:p>
    <w:tbl>
      <w:tblPr>
        <w:tblStyle w:val="Table"/>
        <w:tblW w:w="5000" w:type="pct"/>
        <w:tblLook w:val="0020" w:firstRow="1" w:lastRow="0" w:firstColumn="0" w:lastColumn="0" w:noHBand="0" w:noVBand="0"/>
      </w:tblPr>
      <w:tblGrid>
        <w:gridCol w:w="1566"/>
        <w:gridCol w:w="4531"/>
        <w:gridCol w:w="3479"/>
      </w:tblGrid>
      <w:tr w:rsidR="0088398C" w:rsidTr="0088398C">
        <w:trPr>
          <w:cnfStyle w:val="100000000000" w:firstRow="1" w:lastRow="0" w:firstColumn="0" w:lastColumn="0" w:oddVBand="0" w:evenVBand="0" w:oddHBand="0" w:evenHBand="0" w:firstRowFirstColumn="0" w:firstRowLastColumn="0" w:lastRowFirstColumn="0" w:lastRowLastColumn="0"/>
          <w:tblHeader/>
        </w:trPr>
        <w:tc>
          <w:tcPr>
            <w:tcW w:w="0" w:type="auto"/>
          </w:tcPr>
          <w:p w:rsidR="0088398C" w:rsidRDefault="00097E4F">
            <w:pPr>
              <w:pStyle w:val="Compact"/>
            </w:pPr>
            <w:r>
              <w:t>Aspect</w:t>
            </w:r>
          </w:p>
        </w:tc>
        <w:tc>
          <w:tcPr>
            <w:tcW w:w="0" w:type="auto"/>
          </w:tcPr>
          <w:p w:rsidR="0088398C" w:rsidRDefault="00097E4F">
            <w:pPr>
              <w:pStyle w:val="Compact"/>
            </w:pPr>
            <w:r>
              <w:t>Approach</w:t>
            </w:r>
          </w:p>
        </w:tc>
        <w:tc>
          <w:tcPr>
            <w:tcW w:w="0" w:type="auto"/>
          </w:tcPr>
          <w:p w:rsidR="0088398C" w:rsidRDefault="00097E4F">
            <w:pPr>
              <w:pStyle w:val="Compact"/>
            </w:pPr>
            <w:r>
              <w:t>Notes</w:t>
            </w:r>
          </w:p>
        </w:tc>
      </w:tr>
      <w:tr w:rsidR="0088398C">
        <w:tc>
          <w:tcPr>
            <w:tcW w:w="0" w:type="auto"/>
          </w:tcPr>
          <w:p w:rsidR="0088398C" w:rsidRDefault="00097E4F">
            <w:pPr>
              <w:pStyle w:val="Compact"/>
            </w:pPr>
            <w:r>
              <w:t>Isolation model</w:t>
            </w:r>
          </w:p>
        </w:tc>
        <w:tc>
          <w:tcPr>
            <w:tcW w:w="0" w:type="auto"/>
          </w:tcPr>
          <w:p w:rsidR="0088398C" w:rsidRDefault="00097E4F">
            <w:pPr>
              <w:pStyle w:val="Compact"/>
            </w:pPr>
            <w:r>
              <w:rPr>
                <w:b/>
                <w:bCs/>
              </w:rPr>
              <w:t xml:space="preserve">Shared database, shared schema, </w:t>
            </w:r>
            <w:r>
              <w:rPr>
                <w:rStyle w:val="VerbatimChar"/>
                <w:b/>
                <w:bCs/>
              </w:rPr>
              <w:t>tenant_id</w:t>
            </w:r>
            <w:r>
              <w:rPr>
                <w:b/>
                <w:bCs/>
              </w:rPr>
              <w:t xml:space="preserve"> on every table</w:t>
            </w:r>
            <w:r>
              <w:t xml:space="preserve"> (v1)</w:t>
            </w:r>
          </w:p>
        </w:tc>
        <w:tc>
          <w:tcPr>
            <w:tcW w:w="0" w:type="auto"/>
          </w:tcPr>
          <w:p w:rsidR="0088398C" w:rsidRDefault="00097E4F">
            <w:pPr>
              <w:pStyle w:val="Compact"/>
            </w:pPr>
            <w:r>
              <w:t xml:space="preserve">Cheapest to run, fastest to build. Enforce via Postgres Row-Level Security (RLS) policies, not just app-layer </w:t>
            </w:r>
            <w:r>
              <w:rPr>
                <w:rStyle w:val="VerbatimChar"/>
              </w:rPr>
              <w:t>WHERE tenant_id = ?</w:t>
            </w:r>
            <w:r>
              <w:t xml:space="preserve"> — belt and suspenders.</w:t>
            </w:r>
          </w:p>
        </w:tc>
      </w:tr>
      <w:tr w:rsidR="0088398C">
        <w:tc>
          <w:tcPr>
            <w:tcW w:w="0" w:type="auto"/>
          </w:tcPr>
          <w:p w:rsidR="0088398C" w:rsidRDefault="00097E4F">
            <w:pPr>
              <w:pStyle w:val="Compact"/>
            </w:pPr>
            <w:r>
              <w:t>Upgrade path</w:t>
            </w:r>
          </w:p>
        </w:tc>
        <w:tc>
          <w:tcPr>
            <w:tcW w:w="0" w:type="auto"/>
          </w:tcPr>
          <w:p w:rsidR="0088398C" w:rsidRDefault="00097E4F">
            <w:pPr>
              <w:pStyle w:val="Compact"/>
            </w:pPr>
            <w:r>
              <w:t>Schema-per-tenant or DB-per-tenant for enterprise/regulated customers</w:t>
            </w:r>
          </w:p>
        </w:tc>
        <w:tc>
          <w:tcPr>
            <w:tcW w:w="0" w:type="auto"/>
          </w:tcPr>
          <w:p w:rsidR="0088398C" w:rsidRDefault="00097E4F">
            <w:pPr>
              <w:pStyle w:val="Compact"/>
            </w:pPr>
            <w:r>
              <w:t>Offer as a paid “de</w:t>
            </w:r>
            <w:r>
              <w:t>dicated” tier once you have customers who need it (data residency, extreme compliance, or noisy-neighbor concerns).</w:t>
            </w:r>
          </w:p>
        </w:tc>
      </w:tr>
      <w:tr w:rsidR="0088398C">
        <w:tc>
          <w:tcPr>
            <w:tcW w:w="0" w:type="auto"/>
          </w:tcPr>
          <w:p w:rsidR="0088398C" w:rsidRDefault="00097E4F">
            <w:pPr>
              <w:pStyle w:val="Compact"/>
            </w:pPr>
            <w:r>
              <w:t>Tenant resolution</w:t>
            </w:r>
          </w:p>
        </w:tc>
        <w:tc>
          <w:tcPr>
            <w:tcW w:w="0" w:type="auto"/>
          </w:tcPr>
          <w:p w:rsidR="0088398C" w:rsidRDefault="00097E4F">
            <w:pPr>
              <w:pStyle w:val="Compact"/>
            </w:pPr>
            <w:r>
              <w:t>Subdomain (</w:t>
            </w:r>
            <w:r>
              <w:rPr>
                <w:rStyle w:val="VerbatimChar"/>
              </w:rPr>
              <w:t>acme.yourhrms.com</w:t>
            </w:r>
            <w:r>
              <w:t xml:space="preserve">) or custom domain, resolved at the API Gateway, injected into every downstream request as a signed context (JWT claim </w:t>
            </w:r>
            <w:r>
              <w:rPr>
                <w:rStyle w:val="VerbatimChar"/>
              </w:rPr>
              <w:t>tenant_id</w:t>
            </w:r>
            <w:r>
              <w:t>)</w:t>
            </w:r>
          </w:p>
        </w:tc>
        <w:tc>
          <w:tcPr>
            <w:tcW w:w="0" w:type="auto"/>
          </w:tcPr>
          <w:p w:rsidR="0088398C" w:rsidRDefault="00097E4F">
            <w:pPr>
              <w:pStyle w:val="Compact"/>
            </w:pPr>
            <w:r>
              <w:t>Never trust a tenant_id passed in a request body.</w:t>
            </w:r>
          </w:p>
        </w:tc>
      </w:tr>
      <w:tr w:rsidR="0088398C">
        <w:tc>
          <w:tcPr>
            <w:tcW w:w="0" w:type="auto"/>
          </w:tcPr>
          <w:p w:rsidR="0088398C" w:rsidRDefault="00097E4F">
            <w:pPr>
              <w:pStyle w:val="Compact"/>
            </w:pPr>
            <w:r>
              <w:lastRenderedPageBreak/>
              <w:t>Cross-tenant admin</w:t>
            </w:r>
          </w:p>
        </w:tc>
        <w:tc>
          <w:tcPr>
            <w:tcW w:w="0" w:type="auto"/>
          </w:tcPr>
          <w:p w:rsidR="0088398C" w:rsidRDefault="00097E4F">
            <w:pPr>
              <w:pStyle w:val="Compact"/>
            </w:pPr>
            <w:r>
              <w:t xml:space="preserve">Separate internal “Platform Admin” app/service with its </w:t>
            </w:r>
            <w:r>
              <w:t>own auth, used only by your ops team</w:t>
            </w:r>
          </w:p>
        </w:tc>
        <w:tc>
          <w:tcPr>
            <w:tcW w:w="0" w:type="auto"/>
          </w:tcPr>
          <w:p w:rsidR="0088398C" w:rsidRDefault="00097E4F">
            <w:pPr>
              <w:pStyle w:val="Compact"/>
            </w:pPr>
            <w:r>
              <w:t>Never share auth realm with tenant users.</w:t>
            </w:r>
          </w:p>
        </w:tc>
      </w:tr>
      <w:tr w:rsidR="0088398C">
        <w:tc>
          <w:tcPr>
            <w:tcW w:w="0" w:type="auto"/>
          </w:tcPr>
          <w:p w:rsidR="0088398C" w:rsidRDefault="00097E4F">
            <w:pPr>
              <w:pStyle w:val="Compact"/>
            </w:pPr>
            <w:r>
              <w:t>Background jobs</w:t>
            </w:r>
          </w:p>
        </w:tc>
        <w:tc>
          <w:tcPr>
            <w:tcW w:w="0" w:type="auto"/>
          </w:tcPr>
          <w:p w:rsidR="0088398C" w:rsidRDefault="00097E4F">
            <w:pPr>
              <w:pStyle w:val="Compact"/>
            </w:pPr>
            <w:r>
              <w:t xml:space="preserve">Every job payload carries </w:t>
            </w:r>
            <w:r>
              <w:rPr>
                <w:rStyle w:val="VerbatimChar"/>
              </w:rPr>
              <w:t>tenant_id</w:t>
            </w:r>
            <w:r>
              <w:t>; workers set the Postgres session variable used by RLS before executing</w:t>
            </w:r>
          </w:p>
        </w:tc>
        <w:tc>
          <w:tcPr>
            <w:tcW w:w="0" w:type="auto"/>
          </w:tcPr>
          <w:p w:rsidR="0088398C" w:rsidRDefault="00097E4F">
            <w:pPr>
              <w:pStyle w:val="Compact"/>
            </w:pPr>
            <w:r>
              <w:t>Prevents a whole class of “job ran for wrong tenant”</w:t>
            </w:r>
            <w:r>
              <w:t xml:space="preserve"> bugs.</w:t>
            </w:r>
          </w:p>
        </w:tc>
      </w:tr>
    </w:tbl>
    <w:p w:rsidR="0088398C" w:rsidRDefault="00097E4F">
      <w:pPr>
        <w:pStyle w:val="BodyText"/>
      </w:pPr>
      <w:r>
        <w:rPr>
          <w:b/>
          <w:bCs/>
        </w:rPr>
        <w:t>Row-Level Security pattern (Postgres):</w:t>
      </w:r>
    </w:p>
    <w:p w:rsidR="0088398C" w:rsidRDefault="00097E4F">
      <w:pPr>
        <w:pStyle w:val="SourceCode"/>
      </w:pPr>
      <w:r>
        <w:rPr>
          <w:rStyle w:val="KeywordTok"/>
        </w:rPr>
        <w:t>ALTER</w:t>
      </w:r>
      <w:r>
        <w:rPr>
          <w:rStyle w:val="NormalTok"/>
        </w:rPr>
        <w:t xml:space="preserve"> </w:t>
      </w:r>
      <w:r>
        <w:rPr>
          <w:rStyle w:val="KeywordTok"/>
        </w:rPr>
        <w:t>TABLE</w:t>
      </w:r>
      <w:r>
        <w:rPr>
          <w:rStyle w:val="NormalTok"/>
        </w:rPr>
        <w:t xml:space="preserve"> employees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br/>
      </w:r>
      <w:r>
        <w:rPr>
          <w:rStyle w:val="KeywordTok"/>
        </w:rPr>
        <w:t>CREATE</w:t>
      </w:r>
      <w:r>
        <w:rPr>
          <w:rStyle w:val="NormalTok"/>
        </w:rPr>
        <w:t xml:space="preserve"> POLICY tenant_isolation </w:t>
      </w:r>
      <w:r>
        <w:rPr>
          <w:rStyle w:val="KeywordTok"/>
        </w:rPr>
        <w:t>ON</w:t>
      </w:r>
      <w:r>
        <w:rPr>
          <w:rStyle w:val="NormalTok"/>
        </w:rPr>
        <w:t xml:space="preserve"> employees</w:t>
      </w:r>
      <w: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'app.current_tenant'</w:t>
      </w:r>
      <w:r>
        <w:rPr>
          <w:rStyle w:val="NormalTok"/>
        </w:rPr>
        <w:t>):</w:t>
      </w:r>
      <w:r>
        <w:rPr>
          <w:rStyle w:val="CharTok"/>
        </w:rPr>
        <w:t>:uuid</w:t>
      </w:r>
      <w:r>
        <w:rPr>
          <w:rStyle w:val="NormalTok"/>
        </w:rPr>
        <w:t>);</w:t>
      </w:r>
    </w:p>
    <w:p w:rsidR="0088398C" w:rsidRDefault="00097E4F">
      <w:pPr>
        <w:pStyle w:val="FirstParagraph"/>
      </w:pPr>
      <w:r>
        <w:t>Every DB connection, at checkout from the pool, r</w:t>
      </w:r>
      <w:r>
        <w:t xml:space="preserve">uns </w:t>
      </w:r>
      <w:r>
        <w:rPr>
          <w:rStyle w:val="VerbatimChar"/>
        </w:rPr>
        <w:t>SET app.current_tenant = '&lt;id&gt;'</w:t>
      </w:r>
      <w:r>
        <w:t xml:space="preserve"> derived from the authenticated request context.</w:t>
      </w:r>
    </w:p>
    <w:p w:rsidR="0088398C" w:rsidRDefault="00097E4F">
      <w:r>
        <w:pict>
          <v:rect id="_x0000_i1029" style="width:0;height:1.5pt" o:hralign="center" o:hrstd="t" o:hr="t"/>
        </w:pict>
      </w:r>
    </w:p>
    <w:p w:rsidR="0088398C" w:rsidRDefault="00097E4F">
      <w:pPr>
        <w:pStyle w:val="Heading2"/>
      </w:pPr>
      <w:bookmarkStart w:id="11" w:name="Xf725009313552b4f259cc66befc86dad0bad029"/>
      <w:bookmarkStart w:id="12" w:name="_Toc240618563"/>
      <w:bookmarkEnd w:id="9"/>
      <w:r>
        <w:t>5. Pinned Tech Stack (Implementation Decision)</w:t>
      </w:r>
      <w:bookmarkEnd w:id="12"/>
    </w:p>
    <w:p w:rsidR="0088398C" w:rsidRDefault="00097E4F">
      <w:pPr>
        <w:pStyle w:val="FirstParagraph"/>
      </w:pPr>
      <w:r>
        <w:t xml:space="preserve">To avoid an AI coding agent (or a team) making inconsistent choices module-to-module, these are </w:t>
      </w:r>
      <w:r>
        <w:rPr>
          <w:b/>
          <w:bCs/>
        </w:rPr>
        <w:t>final decisions for Phase 0/1</w:t>
      </w:r>
      <w:r>
        <w:t>, not options:</w:t>
      </w:r>
    </w:p>
    <w:tbl>
      <w:tblPr>
        <w:tblStyle w:val="Table"/>
        <w:tblW w:w="5000" w:type="pct"/>
        <w:tblLook w:val="0020" w:firstRow="1" w:lastRow="0" w:firstColumn="0" w:lastColumn="0" w:noHBand="0" w:noVBand="0"/>
      </w:tblPr>
      <w:tblGrid>
        <w:gridCol w:w="2528"/>
        <w:gridCol w:w="7048"/>
      </w:tblGrid>
      <w:tr w:rsidR="0088398C" w:rsidTr="0088398C">
        <w:trPr>
          <w:cnfStyle w:val="100000000000" w:firstRow="1" w:lastRow="0" w:firstColumn="0" w:lastColumn="0" w:oddVBand="0" w:evenVBand="0" w:oddHBand="0" w:evenHBand="0" w:firstRowFirstColumn="0" w:firstRowLastColumn="0" w:lastRowFirstColumn="0" w:lastRowLastColumn="0"/>
          <w:tblHeader/>
        </w:trPr>
        <w:tc>
          <w:tcPr>
            <w:tcW w:w="0" w:type="auto"/>
          </w:tcPr>
          <w:p w:rsidR="0088398C" w:rsidRDefault="00097E4F">
            <w:pPr>
              <w:pStyle w:val="Compact"/>
            </w:pPr>
            <w:r>
              <w:t>Layer</w:t>
            </w:r>
          </w:p>
        </w:tc>
        <w:tc>
          <w:tcPr>
            <w:tcW w:w="0" w:type="auto"/>
          </w:tcPr>
          <w:p w:rsidR="0088398C" w:rsidRDefault="00097E4F">
            <w:pPr>
              <w:pStyle w:val="Compact"/>
            </w:pPr>
            <w:r>
              <w:t>Decision</w:t>
            </w:r>
          </w:p>
        </w:tc>
      </w:tr>
      <w:tr w:rsidR="0088398C">
        <w:tc>
          <w:tcPr>
            <w:tcW w:w="0" w:type="auto"/>
          </w:tcPr>
          <w:p w:rsidR="0088398C" w:rsidRDefault="00097E4F">
            <w:pPr>
              <w:pStyle w:val="Compact"/>
            </w:pPr>
            <w:r>
              <w:t>Language/Backend framework</w:t>
            </w:r>
          </w:p>
        </w:tc>
        <w:tc>
          <w:tcPr>
            <w:tcW w:w="0" w:type="auto"/>
          </w:tcPr>
          <w:p w:rsidR="0088398C" w:rsidRDefault="00097E4F">
            <w:pPr>
              <w:pStyle w:val="Compact"/>
            </w:pPr>
            <w:r>
              <w:rPr>
                <w:b/>
                <w:bCs/>
              </w:rPr>
              <w:t>TypeScript + NestJS</w:t>
            </w:r>
            <w:r>
              <w:t xml:space="preserve"> (chosen over Java/Spring for faster iteration at this stage; revisit only for Payroll if a compliance vendor forces a different runtime)</w:t>
            </w:r>
          </w:p>
        </w:tc>
      </w:tr>
      <w:tr w:rsidR="0088398C">
        <w:tc>
          <w:tcPr>
            <w:tcW w:w="0" w:type="auto"/>
          </w:tcPr>
          <w:p w:rsidR="0088398C" w:rsidRDefault="00097E4F">
            <w:pPr>
              <w:pStyle w:val="Compact"/>
            </w:pPr>
            <w:r>
              <w:t>Frontend</w:t>
            </w:r>
          </w:p>
        </w:tc>
        <w:tc>
          <w:tcPr>
            <w:tcW w:w="0" w:type="auto"/>
          </w:tcPr>
          <w:p w:rsidR="0088398C" w:rsidRDefault="00097E4F">
            <w:pPr>
              <w:pStyle w:val="Compact"/>
            </w:pPr>
            <w:r>
              <w:rPr>
                <w:b/>
                <w:bCs/>
              </w:rPr>
              <w:t>Next.js (React) + TypeScript + TanStack Query + Tailwind CSS</w:t>
            </w:r>
          </w:p>
        </w:tc>
      </w:tr>
      <w:tr w:rsidR="0088398C">
        <w:tc>
          <w:tcPr>
            <w:tcW w:w="0" w:type="auto"/>
          </w:tcPr>
          <w:p w:rsidR="0088398C" w:rsidRDefault="00097E4F">
            <w:pPr>
              <w:pStyle w:val="Compact"/>
            </w:pPr>
            <w:r>
              <w:t>Primary database</w:t>
            </w:r>
          </w:p>
        </w:tc>
        <w:tc>
          <w:tcPr>
            <w:tcW w:w="0" w:type="auto"/>
          </w:tcPr>
          <w:p w:rsidR="0088398C" w:rsidRDefault="00097E4F">
            <w:pPr>
              <w:pStyle w:val="Compact"/>
            </w:pPr>
            <w:r>
              <w:rPr>
                <w:b/>
                <w:bCs/>
              </w:rPr>
              <w:t>PostgreSQL 16</w:t>
            </w:r>
            <w:r>
              <w:t>, single instance for Phase 0/1, RLS enabled from the first migration</w:t>
            </w:r>
          </w:p>
        </w:tc>
      </w:tr>
      <w:tr w:rsidR="0088398C">
        <w:tc>
          <w:tcPr>
            <w:tcW w:w="0" w:type="auto"/>
          </w:tcPr>
          <w:p w:rsidR="0088398C" w:rsidRDefault="00097E4F">
            <w:pPr>
              <w:pStyle w:val="Compact"/>
            </w:pPr>
            <w:r>
              <w:t>ORM/Migrations</w:t>
            </w:r>
          </w:p>
        </w:tc>
        <w:tc>
          <w:tcPr>
            <w:tcW w:w="0" w:type="auto"/>
          </w:tcPr>
          <w:p w:rsidR="0088398C" w:rsidRDefault="00097E4F">
            <w:pPr>
              <w:pStyle w:val="Compact"/>
            </w:pPr>
            <w:r>
              <w:rPr>
                <w:b/>
                <w:bCs/>
              </w:rPr>
              <w:t>Prisma</w:t>
            </w:r>
            <w:r>
              <w:t xml:space="preserve"> (schema-as-code, migration history, generates TypeScript types)</w:t>
            </w:r>
          </w:p>
        </w:tc>
      </w:tr>
      <w:tr w:rsidR="0088398C">
        <w:tc>
          <w:tcPr>
            <w:tcW w:w="0" w:type="auto"/>
          </w:tcPr>
          <w:p w:rsidR="0088398C" w:rsidRDefault="00097E4F">
            <w:pPr>
              <w:pStyle w:val="Compact"/>
            </w:pPr>
            <w:r>
              <w:t>Cache/</w:t>
            </w:r>
            <w:r>
              <w:t>Queue</w:t>
            </w:r>
          </w:p>
        </w:tc>
        <w:tc>
          <w:tcPr>
            <w:tcW w:w="0" w:type="auto"/>
          </w:tcPr>
          <w:p w:rsidR="0088398C" w:rsidRDefault="00097E4F">
            <w:pPr>
              <w:pStyle w:val="Compact"/>
            </w:pPr>
            <w:r>
              <w:rPr>
                <w:b/>
                <w:bCs/>
              </w:rPr>
              <w:t>Redis</w:t>
            </w:r>
            <w:r>
              <w:t xml:space="preserve"> + </w:t>
            </w:r>
            <w:r>
              <w:rPr>
                <w:b/>
                <w:bCs/>
              </w:rPr>
              <w:t>BullMQ</w:t>
            </w:r>
            <w:r>
              <w:t xml:space="preserve"> for background jobs</w:t>
            </w:r>
          </w:p>
        </w:tc>
      </w:tr>
      <w:tr w:rsidR="0088398C">
        <w:tc>
          <w:tcPr>
            <w:tcW w:w="0" w:type="auto"/>
          </w:tcPr>
          <w:p w:rsidR="0088398C" w:rsidRDefault="00097E4F">
            <w:pPr>
              <w:pStyle w:val="Compact"/>
            </w:pPr>
            <w:r>
              <w:t>Auth</w:t>
            </w:r>
          </w:p>
        </w:tc>
        <w:tc>
          <w:tcPr>
            <w:tcW w:w="0" w:type="auto"/>
          </w:tcPr>
          <w:p w:rsidR="0088398C" w:rsidRDefault="00097E4F">
            <w:pPr>
              <w:pStyle w:val="Compact"/>
            </w:pPr>
            <w:r>
              <w:rPr>
                <w:b/>
                <w:bCs/>
              </w:rPr>
              <w:t>Custom OIDC-compatible auth in Phase 0/1</w:t>
            </w:r>
            <w:r>
              <w:t xml:space="preserve"> (email/password + JWT), with the module boundary built so </w:t>
            </w:r>
            <w:r>
              <w:rPr>
                <w:b/>
                <w:bCs/>
              </w:rPr>
              <w:t>Auth0/Keycloak SSO can be swapped in for Phase 5</w:t>
            </w:r>
            <w:r>
              <w:t xml:space="preserve"> without touching other modules</w:t>
            </w:r>
          </w:p>
        </w:tc>
      </w:tr>
      <w:tr w:rsidR="0088398C">
        <w:tc>
          <w:tcPr>
            <w:tcW w:w="0" w:type="auto"/>
          </w:tcPr>
          <w:p w:rsidR="0088398C" w:rsidRDefault="00097E4F">
            <w:pPr>
              <w:pStyle w:val="Compact"/>
            </w:pPr>
            <w:r>
              <w:t>API style</w:t>
            </w:r>
          </w:p>
        </w:tc>
        <w:tc>
          <w:tcPr>
            <w:tcW w:w="0" w:type="auto"/>
          </w:tcPr>
          <w:p w:rsidR="0088398C" w:rsidRDefault="00097E4F">
            <w:pPr>
              <w:pStyle w:val="Compact"/>
            </w:pPr>
            <w:r>
              <w:rPr>
                <w:b/>
                <w:bCs/>
              </w:rPr>
              <w:t>REST</w:t>
            </w:r>
            <w:r>
              <w:t>, OpenAPI-first</w:t>
            </w:r>
            <w:r>
              <w:t xml:space="preserve"> (spec is written before the endpoint, not generated from it after)</w:t>
            </w:r>
          </w:p>
        </w:tc>
      </w:tr>
      <w:tr w:rsidR="0088398C">
        <w:tc>
          <w:tcPr>
            <w:tcW w:w="0" w:type="auto"/>
          </w:tcPr>
          <w:p w:rsidR="0088398C" w:rsidRDefault="00097E4F">
            <w:pPr>
              <w:pStyle w:val="Compact"/>
            </w:pPr>
            <w:r>
              <w:t>Infra (Phase 0/1)</w:t>
            </w:r>
          </w:p>
        </w:tc>
        <w:tc>
          <w:tcPr>
            <w:tcW w:w="0" w:type="auto"/>
          </w:tcPr>
          <w:p w:rsidR="0088398C" w:rsidRDefault="00097E4F">
            <w:pPr>
              <w:pStyle w:val="Compact"/>
            </w:pPr>
            <w:r>
              <w:t xml:space="preserve">Single environment: </w:t>
            </w:r>
            <w:r>
              <w:rPr>
                <w:b/>
                <w:bCs/>
              </w:rPr>
              <w:t>Docker Compose locally, one small Kubernetes cluster (or even a single ECS/Fargate service) in staging+prod</w:t>
            </w:r>
            <w:r>
              <w:t xml:space="preserve"> </w:t>
            </w:r>
            <w:r>
              <w:t>— do not build the full multi-cluster Terraform setup yet</w:t>
            </w:r>
          </w:p>
        </w:tc>
      </w:tr>
      <w:tr w:rsidR="0088398C">
        <w:tc>
          <w:tcPr>
            <w:tcW w:w="0" w:type="auto"/>
          </w:tcPr>
          <w:p w:rsidR="0088398C" w:rsidRDefault="00097E4F">
            <w:pPr>
              <w:pStyle w:val="Compact"/>
            </w:pPr>
            <w:r>
              <w:t>Object storage</w:t>
            </w:r>
          </w:p>
        </w:tc>
        <w:tc>
          <w:tcPr>
            <w:tcW w:w="0" w:type="auto"/>
          </w:tcPr>
          <w:p w:rsidR="0088398C" w:rsidRDefault="00097E4F">
            <w:pPr>
              <w:pStyle w:val="Compact"/>
            </w:pPr>
            <w:r>
              <w:rPr>
                <w:b/>
                <w:bCs/>
              </w:rPr>
              <w:t>S3-compatible bucket</w:t>
            </w:r>
            <w:r>
              <w:t xml:space="preserve">, one per environment, prefixed by </w:t>
            </w:r>
            <w:r>
              <w:rPr>
                <w:rStyle w:val="VerbatimChar"/>
              </w:rPr>
              <w:t>tenant_id/</w:t>
            </w:r>
          </w:p>
        </w:tc>
      </w:tr>
    </w:tbl>
    <w:p w:rsidR="0088398C" w:rsidRDefault="00097E4F">
      <w:pPr>
        <w:pStyle w:val="BodyText"/>
      </w:pPr>
      <w:r>
        <w:lastRenderedPageBreak/>
        <w:t>An agent should treat this table as fixed. Section 4 (tenant model) and section 8 (data model) below assume Postgre</w:t>
      </w:r>
      <w:r>
        <w:t>s + Prisma + RLS specifically.</w:t>
      </w:r>
    </w:p>
    <w:p w:rsidR="0088398C" w:rsidRDefault="00097E4F">
      <w:pPr>
        <w:pStyle w:val="Heading3"/>
      </w:pPr>
      <w:bookmarkStart w:id="13" w:name="Xe555b94b2539c559bd424a40d5a6f86ba952774"/>
      <w:r>
        <w:t>Phase 0 Non-Goals (explicitly out of scope — do not build yet)</w:t>
      </w:r>
    </w:p>
    <w:p w:rsidR="0088398C" w:rsidRDefault="00097E4F">
      <w:pPr>
        <w:pStyle w:val="FirstParagraph"/>
      </w:pPr>
      <w:r>
        <w:t xml:space="preserve">To keep an AI agent from wandering into premature scope, Phase 0/1 work should </w:t>
      </w:r>
      <w:r>
        <w:rPr>
          <w:b/>
          <w:bCs/>
        </w:rPr>
        <w:t>not</w:t>
      </w:r>
      <w:r>
        <w:t xml:space="preserve"> touch: - Payroll Service (any country) — stub the module boundary and the </w:t>
      </w:r>
      <w:r>
        <w:rPr>
          <w:rStyle w:val="VerbatimChar"/>
        </w:rPr>
        <w:t>payro</w:t>
      </w:r>
      <w:r>
        <w:rPr>
          <w:rStyle w:val="VerbatimChar"/>
        </w:rPr>
        <w:t>ll.run_completed</w:t>
      </w:r>
      <w:r>
        <w:t xml:space="preserve"> event contract only - AI Agent Service — no chatbot, no resume parsing yet; just leave the event bus emitting the events it will later consume - Billing/metering service — hardcode a single “trial” plan, no Stripe integration yet - SSO/SAM</w:t>
      </w:r>
      <w:r>
        <w:t xml:space="preserve">L — email/password auth only - Multi-region / data residency — single region deployment - Microservice extraction — everything Phase 0/1 lives in the </w:t>
      </w:r>
      <w:r>
        <w:rPr>
          <w:rStyle w:val="VerbatimChar"/>
        </w:rPr>
        <w:t>core</w:t>
      </w:r>
      <w:r>
        <w:t xml:space="preserve"> modular monolith described in section 15 - Reporting/data warehouse — Phase 1 reporting reads directl</w:t>
      </w:r>
      <w:r>
        <w:t>y from Postgres read replica if needed, no ETL pipeline yet</w:t>
      </w:r>
    </w:p>
    <w:p w:rsidR="0088398C" w:rsidRDefault="00097E4F">
      <w:r>
        <w:pict>
          <v:rect id="_x0000_i1030" style="width:0;height:1.5pt" o:hralign="center" o:hrstd="t" o:hr="t"/>
        </w:pict>
      </w:r>
    </w:p>
    <w:p w:rsidR="0088398C" w:rsidRDefault="00097E4F">
      <w:pPr>
        <w:pStyle w:val="Heading2"/>
      </w:pPr>
      <w:bookmarkStart w:id="14" w:name="Xcabc92f9cf626a3cc2312a83c0491bb971de3ff"/>
      <w:bookmarkStart w:id="15" w:name="_Toc240618564"/>
      <w:bookmarkEnd w:id="11"/>
      <w:bookmarkEnd w:id="13"/>
      <w:r>
        <w:t>5a. Reference Tech Stack (Later Phases / Alternatives Considered)</w:t>
      </w:r>
      <w:bookmarkEnd w:id="15"/>
    </w:p>
    <w:tbl>
      <w:tblPr>
        <w:tblStyle w:val="Table"/>
        <w:tblW w:w="5000" w:type="pct"/>
        <w:tblLook w:val="0020" w:firstRow="1" w:lastRow="0" w:firstColumn="0" w:lastColumn="0" w:noHBand="0" w:noVBand="0"/>
      </w:tblPr>
      <w:tblGrid>
        <w:gridCol w:w="1660"/>
        <w:gridCol w:w="4191"/>
        <w:gridCol w:w="3725"/>
      </w:tblGrid>
      <w:tr w:rsidR="0088398C" w:rsidTr="0088398C">
        <w:trPr>
          <w:cnfStyle w:val="100000000000" w:firstRow="1" w:lastRow="0" w:firstColumn="0" w:lastColumn="0" w:oddVBand="0" w:evenVBand="0" w:oddHBand="0" w:evenHBand="0" w:firstRowFirstColumn="0" w:firstRowLastColumn="0" w:lastRowFirstColumn="0" w:lastRowLastColumn="0"/>
          <w:tblHeader/>
        </w:trPr>
        <w:tc>
          <w:tcPr>
            <w:tcW w:w="0" w:type="auto"/>
          </w:tcPr>
          <w:p w:rsidR="0088398C" w:rsidRDefault="00097E4F">
            <w:pPr>
              <w:pStyle w:val="Compact"/>
            </w:pPr>
            <w:r>
              <w:t>Layer</w:t>
            </w:r>
          </w:p>
        </w:tc>
        <w:tc>
          <w:tcPr>
            <w:tcW w:w="0" w:type="auto"/>
          </w:tcPr>
          <w:p w:rsidR="0088398C" w:rsidRDefault="00097E4F">
            <w:pPr>
              <w:pStyle w:val="Compact"/>
            </w:pPr>
            <w:r>
              <w:t>Choice</w:t>
            </w:r>
          </w:p>
        </w:tc>
        <w:tc>
          <w:tcPr>
            <w:tcW w:w="0" w:type="auto"/>
          </w:tcPr>
          <w:p w:rsidR="0088398C" w:rsidRDefault="00097E4F">
            <w:pPr>
              <w:pStyle w:val="Compact"/>
            </w:pPr>
            <w:r>
              <w:t>Rationale</w:t>
            </w:r>
          </w:p>
        </w:tc>
      </w:tr>
      <w:tr w:rsidR="0088398C">
        <w:tc>
          <w:tcPr>
            <w:tcW w:w="0" w:type="auto"/>
          </w:tcPr>
          <w:p w:rsidR="0088398C" w:rsidRDefault="00097E4F">
            <w:pPr>
              <w:pStyle w:val="Compact"/>
            </w:pPr>
            <w:r>
              <w:t>Frontend (Web)</w:t>
            </w:r>
          </w:p>
        </w:tc>
        <w:tc>
          <w:tcPr>
            <w:tcW w:w="0" w:type="auto"/>
          </w:tcPr>
          <w:p w:rsidR="0088398C" w:rsidRDefault="00097E4F">
            <w:pPr>
              <w:pStyle w:val="Compact"/>
            </w:pPr>
            <w:r>
              <w:t>React + Next.js, TypeScript, TanStack Query, Tailwind</w:t>
            </w:r>
          </w:p>
        </w:tc>
        <w:tc>
          <w:tcPr>
            <w:tcW w:w="0" w:type="auto"/>
          </w:tcPr>
          <w:p w:rsidR="0088398C" w:rsidRDefault="00097E4F">
            <w:pPr>
              <w:pStyle w:val="Compact"/>
            </w:pPr>
            <w:r>
              <w:t>SSR for marketing/onboarding pages,</w:t>
            </w:r>
            <w:r>
              <w:t xml:space="preserve"> SPA for the app itself</w:t>
            </w:r>
          </w:p>
        </w:tc>
      </w:tr>
      <w:tr w:rsidR="0088398C">
        <w:tc>
          <w:tcPr>
            <w:tcW w:w="0" w:type="auto"/>
          </w:tcPr>
          <w:p w:rsidR="0088398C" w:rsidRDefault="00097E4F">
            <w:pPr>
              <w:pStyle w:val="Compact"/>
            </w:pPr>
            <w:r>
              <w:t>Mobile</w:t>
            </w:r>
          </w:p>
        </w:tc>
        <w:tc>
          <w:tcPr>
            <w:tcW w:w="0" w:type="auto"/>
          </w:tcPr>
          <w:p w:rsidR="0088398C" w:rsidRDefault="00097E4F">
            <w:pPr>
              <w:pStyle w:val="Compact"/>
            </w:pPr>
            <w:r>
              <w:t>React Native</w:t>
            </w:r>
          </w:p>
        </w:tc>
        <w:tc>
          <w:tcPr>
            <w:tcW w:w="0" w:type="auto"/>
          </w:tcPr>
          <w:p w:rsidR="0088398C" w:rsidRDefault="00097E4F">
            <w:pPr>
              <w:pStyle w:val="Compact"/>
            </w:pPr>
            <w:r>
              <w:t>Shared logic with web team, single codebase for iOS/Android</w:t>
            </w:r>
          </w:p>
        </w:tc>
      </w:tr>
      <w:tr w:rsidR="0088398C">
        <w:tc>
          <w:tcPr>
            <w:tcW w:w="0" w:type="auto"/>
          </w:tcPr>
          <w:p w:rsidR="0088398C" w:rsidRDefault="00097E4F">
            <w:pPr>
              <w:pStyle w:val="Compact"/>
            </w:pPr>
            <w:r>
              <w:t>API Gateway</w:t>
            </w:r>
          </w:p>
        </w:tc>
        <w:tc>
          <w:tcPr>
            <w:tcW w:w="0" w:type="auto"/>
          </w:tcPr>
          <w:p w:rsidR="0088398C" w:rsidRDefault="00097E4F">
            <w:pPr>
              <w:pStyle w:val="Compact"/>
            </w:pPr>
            <w:r>
              <w:t>Kong / AWS API Gateway / Node.js custom gateway</w:t>
            </w:r>
          </w:p>
        </w:tc>
        <w:tc>
          <w:tcPr>
            <w:tcW w:w="0" w:type="auto"/>
          </w:tcPr>
          <w:p w:rsidR="0088398C" w:rsidRDefault="00097E4F">
            <w:pPr>
              <w:pStyle w:val="Compact"/>
            </w:pPr>
            <w:r>
              <w:t>Auth, rate limiting, request routing, tenant resolution</w:t>
            </w:r>
          </w:p>
        </w:tc>
      </w:tr>
      <w:tr w:rsidR="0088398C">
        <w:tc>
          <w:tcPr>
            <w:tcW w:w="0" w:type="auto"/>
          </w:tcPr>
          <w:p w:rsidR="0088398C" w:rsidRDefault="00097E4F">
            <w:pPr>
              <w:pStyle w:val="Compact"/>
            </w:pPr>
            <w:r>
              <w:t>Backend</w:t>
            </w:r>
          </w:p>
        </w:tc>
        <w:tc>
          <w:tcPr>
            <w:tcW w:w="0" w:type="auto"/>
          </w:tcPr>
          <w:p w:rsidR="0088398C" w:rsidRDefault="00097E4F">
            <w:pPr>
              <w:pStyle w:val="Compact"/>
            </w:pPr>
            <w:r>
              <w:t xml:space="preserve">Node.js + TypeScript (NestJS) </w:t>
            </w:r>
            <w:r>
              <w:rPr>
                <w:i/>
                <w:iCs/>
              </w:rPr>
              <w:t>or</w:t>
            </w:r>
            <w:r>
              <w:t xml:space="preserve"> Java/Spring Boot for payroll/compliance-heavy modules</w:t>
            </w:r>
          </w:p>
        </w:tc>
        <w:tc>
          <w:tcPr>
            <w:tcW w:w="0" w:type="auto"/>
          </w:tcPr>
          <w:p w:rsidR="0088398C" w:rsidRDefault="00097E4F">
            <w:pPr>
              <w:pStyle w:val="Compact"/>
            </w:pPr>
            <w:r>
              <w:t>NestJS gives strict module boundaries out of the box, mirroring the architecture</w:t>
            </w:r>
          </w:p>
        </w:tc>
      </w:tr>
      <w:tr w:rsidR="0088398C">
        <w:tc>
          <w:tcPr>
            <w:tcW w:w="0" w:type="auto"/>
          </w:tcPr>
          <w:p w:rsidR="0088398C" w:rsidRDefault="00097E4F">
            <w:pPr>
              <w:pStyle w:val="Compact"/>
            </w:pPr>
            <w:r>
              <w:t>Primary DB</w:t>
            </w:r>
          </w:p>
        </w:tc>
        <w:tc>
          <w:tcPr>
            <w:tcW w:w="0" w:type="auto"/>
          </w:tcPr>
          <w:p w:rsidR="0088398C" w:rsidRDefault="00097E4F">
            <w:pPr>
              <w:pStyle w:val="Compact"/>
            </w:pPr>
            <w:r>
              <w:t>PostgreSQL 16</w:t>
            </w:r>
          </w:p>
        </w:tc>
        <w:tc>
          <w:tcPr>
            <w:tcW w:w="0" w:type="auto"/>
          </w:tcPr>
          <w:p w:rsidR="0088398C" w:rsidRDefault="00097E4F">
            <w:pPr>
              <w:pStyle w:val="Compact"/>
            </w:pPr>
            <w:r>
              <w:t>JSONB for flexible custom fields, RLS for tenancy, mature ecos</w:t>
            </w:r>
            <w:r>
              <w:t>ystem</w:t>
            </w:r>
          </w:p>
        </w:tc>
      </w:tr>
      <w:tr w:rsidR="0088398C">
        <w:tc>
          <w:tcPr>
            <w:tcW w:w="0" w:type="auto"/>
          </w:tcPr>
          <w:p w:rsidR="0088398C" w:rsidRDefault="00097E4F">
            <w:pPr>
              <w:pStyle w:val="Compact"/>
            </w:pPr>
            <w:r>
              <w:t>Cache/Queue</w:t>
            </w:r>
          </w:p>
        </w:tc>
        <w:tc>
          <w:tcPr>
            <w:tcW w:w="0" w:type="auto"/>
          </w:tcPr>
          <w:p w:rsidR="0088398C" w:rsidRDefault="00097E4F">
            <w:pPr>
              <w:pStyle w:val="Compact"/>
            </w:pPr>
            <w:r>
              <w:t>Redis</w:t>
            </w:r>
          </w:p>
        </w:tc>
        <w:tc>
          <w:tcPr>
            <w:tcW w:w="0" w:type="auto"/>
          </w:tcPr>
          <w:p w:rsidR="0088398C" w:rsidRDefault="00097E4F">
            <w:pPr>
              <w:pStyle w:val="Compact"/>
            </w:pPr>
            <w:r>
              <w:t>Sessions, rate limiting, short-lived job queues (BullMQ)</w:t>
            </w:r>
          </w:p>
        </w:tc>
      </w:tr>
      <w:tr w:rsidR="0088398C">
        <w:tc>
          <w:tcPr>
            <w:tcW w:w="0" w:type="auto"/>
          </w:tcPr>
          <w:p w:rsidR="0088398C" w:rsidRDefault="00097E4F">
            <w:pPr>
              <w:pStyle w:val="Compact"/>
            </w:pPr>
            <w:r>
              <w:t>Event Bus</w:t>
            </w:r>
          </w:p>
        </w:tc>
        <w:tc>
          <w:tcPr>
            <w:tcW w:w="0" w:type="auto"/>
          </w:tcPr>
          <w:p w:rsidR="0088398C" w:rsidRDefault="00097E4F">
            <w:pPr>
              <w:pStyle w:val="Compact"/>
            </w:pPr>
            <w:r>
              <w:t>Kafka (scale) or Amazon SQS/SNS (simpler start)</w:t>
            </w:r>
          </w:p>
        </w:tc>
        <w:tc>
          <w:tcPr>
            <w:tcW w:w="0" w:type="auto"/>
          </w:tcPr>
          <w:p w:rsidR="0088398C" w:rsidRDefault="00097E4F">
            <w:pPr>
              <w:pStyle w:val="Compact"/>
            </w:pPr>
            <w:r>
              <w:t>Domain events between modules/services</w:t>
            </w:r>
          </w:p>
        </w:tc>
      </w:tr>
      <w:tr w:rsidR="0088398C">
        <w:tc>
          <w:tcPr>
            <w:tcW w:w="0" w:type="auto"/>
          </w:tcPr>
          <w:p w:rsidR="0088398C" w:rsidRDefault="00097E4F">
            <w:pPr>
              <w:pStyle w:val="Compact"/>
            </w:pPr>
            <w:r>
              <w:t>Search</w:t>
            </w:r>
          </w:p>
        </w:tc>
        <w:tc>
          <w:tcPr>
            <w:tcW w:w="0" w:type="auto"/>
          </w:tcPr>
          <w:p w:rsidR="0088398C" w:rsidRDefault="00097E4F">
            <w:pPr>
              <w:pStyle w:val="Compact"/>
            </w:pPr>
            <w:r>
              <w:t>OpenSearch/Elasticsearch</w:t>
            </w:r>
          </w:p>
        </w:tc>
        <w:tc>
          <w:tcPr>
            <w:tcW w:w="0" w:type="auto"/>
          </w:tcPr>
          <w:p w:rsidR="0088398C" w:rsidRDefault="00097E4F">
            <w:pPr>
              <w:pStyle w:val="Compact"/>
            </w:pPr>
            <w:r>
              <w:t>Resume search, employee directory search, log search</w:t>
            </w:r>
          </w:p>
        </w:tc>
      </w:tr>
      <w:tr w:rsidR="0088398C">
        <w:tc>
          <w:tcPr>
            <w:tcW w:w="0" w:type="auto"/>
          </w:tcPr>
          <w:p w:rsidR="0088398C" w:rsidRDefault="00097E4F">
            <w:pPr>
              <w:pStyle w:val="Compact"/>
            </w:pPr>
            <w:r>
              <w:t>Object Storage</w:t>
            </w:r>
          </w:p>
        </w:tc>
        <w:tc>
          <w:tcPr>
            <w:tcW w:w="0" w:type="auto"/>
          </w:tcPr>
          <w:p w:rsidR="0088398C" w:rsidRDefault="00097E4F">
            <w:pPr>
              <w:pStyle w:val="Compact"/>
            </w:pPr>
            <w:r>
              <w:t>S3-compatible</w:t>
            </w:r>
          </w:p>
        </w:tc>
        <w:tc>
          <w:tcPr>
            <w:tcW w:w="0" w:type="auto"/>
          </w:tcPr>
          <w:p w:rsidR="0088398C" w:rsidRDefault="00097E4F">
            <w:pPr>
              <w:pStyle w:val="Compact"/>
            </w:pPr>
            <w:r>
              <w:t>Resumes, contracts, payslips, ID documents</w:t>
            </w:r>
          </w:p>
        </w:tc>
      </w:tr>
      <w:tr w:rsidR="0088398C">
        <w:tc>
          <w:tcPr>
            <w:tcW w:w="0" w:type="auto"/>
          </w:tcPr>
          <w:p w:rsidR="0088398C" w:rsidRDefault="00097E4F">
            <w:pPr>
              <w:pStyle w:val="Compact"/>
            </w:pPr>
            <w:r>
              <w:t>Data Warehouse</w:t>
            </w:r>
          </w:p>
        </w:tc>
        <w:tc>
          <w:tcPr>
            <w:tcW w:w="0" w:type="auto"/>
          </w:tcPr>
          <w:p w:rsidR="0088398C" w:rsidRDefault="00097E4F">
            <w:pPr>
              <w:pStyle w:val="Compact"/>
            </w:pPr>
            <w:r>
              <w:t>Snowflake / BigQuery / Redshift</w:t>
            </w:r>
          </w:p>
        </w:tc>
        <w:tc>
          <w:tcPr>
            <w:tcW w:w="0" w:type="auto"/>
          </w:tcPr>
          <w:p w:rsidR="0088398C" w:rsidRDefault="00097E4F">
            <w:pPr>
              <w:pStyle w:val="Compact"/>
            </w:pPr>
            <w:r>
              <w:t>For the Analytics module and BI dashboards, decoupled from OLTP load</w:t>
            </w:r>
          </w:p>
        </w:tc>
      </w:tr>
      <w:tr w:rsidR="0088398C">
        <w:tc>
          <w:tcPr>
            <w:tcW w:w="0" w:type="auto"/>
          </w:tcPr>
          <w:p w:rsidR="0088398C" w:rsidRDefault="00097E4F">
            <w:pPr>
              <w:pStyle w:val="Compact"/>
            </w:pPr>
            <w:r>
              <w:t>AI/LLM</w:t>
            </w:r>
          </w:p>
        </w:tc>
        <w:tc>
          <w:tcPr>
            <w:tcW w:w="0" w:type="auto"/>
          </w:tcPr>
          <w:p w:rsidR="0088398C" w:rsidRDefault="00097E4F">
            <w:pPr>
              <w:pStyle w:val="Compact"/>
            </w:pPr>
            <w:r>
              <w:t>Anthr</w:t>
            </w:r>
            <w:r>
              <w:t>opic Claude API (Claude Sonnet/Haiku tiers)</w:t>
            </w:r>
          </w:p>
        </w:tc>
        <w:tc>
          <w:tcPr>
            <w:tcW w:w="0" w:type="auto"/>
          </w:tcPr>
          <w:p w:rsidR="0088398C" w:rsidRDefault="00097E4F">
            <w:pPr>
              <w:pStyle w:val="Compact"/>
            </w:pPr>
            <w:r>
              <w:t>Resume parsing, HR chatbot, policy Q&amp;A, summarization</w:t>
            </w:r>
          </w:p>
        </w:tc>
      </w:tr>
      <w:tr w:rsidR="0088398C">
        <w:tc>
          <w:tcPr>
            <w:tcW w:w="0" w:type="auto"/>
          </w:tcPr>
          <w:p w:rsidR="0088398C" w:rsidRDefault="00097E4F">
            <w:pPr>
              <w:pStyle w:val="Compact"/>
            </w:pPr>
            <w:r>
              <w:lastRenderedPageBreak/>
              <w:t>Infra</w:t>
            </w:r>
          </w:p>
        </w:tc>
        <w:tc>
          <w:tcPr>
            <w:tcW w:w="0" w:type="auto"/>
          </w:tcPr>
          <w:p w:rsidR="0088398C" w:rsidRDefault="00097E4F">
            <w:pPr>
              <w:pStyle w:val="Compact"/>
            </w:pPr>
            <w:r>
              <w:t>Kubernetes (EKS/GKE/AKS) + Terraform</w:t>
            </w:r>
          </w:p>
        </w:tc>
        <w:tc>
          <w:tcPr>
            <w:tcW w:w="0" w:type="auto"/>
          </w:tcPr>
          <w:p w:rsidR="0088398C" w:rsidRDefault="00097E4F">
            <w:pPr>
              <w:pStyle w:val="Compact"/>
            </w:pPr>
            <w:r>
              <w:t>Cloud-agnostic, standard SaaS deployment pattern</w:t>
            </w:r>
          </w:p>
        </w:tc>
      </w:tr>
      <w:tr w:rsidR="0088398C">
        <w:tc>
          <w:tcPr>
            <w:tcW w:w="0" w:type="auto"/>
          </w:tcPr>
          <w:p w:rsidR="0088398C" w:rsidRDefault="00097E4F">
            <w:pPr>
              <w:pStyle w:val="Compact"/>
            </w:pPr>
            <w:r>
              <w:t>CI/CD</w:t>
            </w:r>
          </w:p>
        </w:tc>
        <w:tc>
          <w:tcPr>
            <w:tcW w:w="0" w:type="auto"/>
          </w:tcPr>
          <w:p w:rsidR="0088398C" w:rsidRDefault="00097E4F">
            <w:pPr>
              <w:pStyle w:val="Compact"/>
            </w:pPr>
            <w:r>
              <w:t>GitHub Actions + ArgoCD</w:t>
            </w:r>
          </w:p>
        </w:tc>
        <w:tc>
          <w:tcPr>
            <w:tcW w:w="0" w:type="auto"/>
          </w:tcPr>
          <w:p w:rsidR="0088398C" w:rsidRDefault="00097E4F">
            <w:pPr>
              <w:pStyle w:val="Compact"/>
            </w:pPr>
            <w:r>
              <w:t>Standard GitOps flow</w:t>
            </w:r>
          </w:p>
        </w:tc>
      </w:tr>
      <w:tr w:rsidR="0088398C">
        <w:tc>
          <w:tcPr>
            <w:tcW w:w="0" w:type="auto"/>
          </w:tcPr>
          <w:p w:rsidR="0088398C" w:rsidRDefault="00097E4F">
            <w:pPr>
              <w:pStyle w:val="Compact"/>
            </w:pPr>
            <w:r>
              <w:t>Observability</w:t>
            </w:r>
          </w:p>
        </w:tc>
        <w:tc>
          <w:tcPr>
            <w:tcW w:w="0" w:type="auto"/>
          </w:tcPr>
          <w:p w:rsidR="0088398C" w:rsidRDefault="00097E4F">
            <w:pPr>
              <w:pStyle w:val="Compact"/>
            </w:pPr>
            <w:r>
              <w:t>OpenTelemetry + Grafana/Prometheus + Sentry</w:t>
            </w:r>
          </w:p>
        </w:tc>
        <w:tc>
          <w:tcPr>
            <w:tcW w:w="0" w:type="auto"/>
          </w:tcPr>
          <w:p w:rsidR="0088398C" w:rsidRDefault="00097E4F">
            <w:pPr>
              <w:pStyle w:val="Compact"/>
            </w:pPr>
            <w:r>
              <w:t>Tracing across module boundaries is critical for a modular monolith</w:t>
            </w:r>
          </w:p>
        </w:tc>
      </w:tr>
      <w:tr w:rsidR="0088398C">
        <w:tc>
          <w:tcPr>
            <w:tcW w:w="0" w:type="auto"/>
          </w:tcPr>
          <w:p w:rsidR="0088398C" w:rsidRDefault="00097E4F">
            <w:pPr>
              <w:pStyle w:val="Compact"/>
            </w:pPr>
            <w:r>
              <w:t>Auth</w:t>
            </w:r>
          </w:p>
        </w:tc>
        <w:tc>
          <w:tcPr>
            <w:tcW w:w="0" w:type="auto"/>
          </w:tcPr>
          <w:p w:rsidR="0088398C" w:rsidRDefault="00097E4F">
            <w:pPr>
              <w:pStyle w:val="Compact"/>
            </w:pPr>
            <w:r>
              <w:t>Auth0 / Keycloak / custom (OAuth2 + OIDC)</w:t>
            </w:r>
          </w:p>
        </w:tc>
        <w:tc>
          <w:tcPr>
            <w:tcW w:w="0" w:type="auto"/>
          </w:tcPr>
          <w:p w:rsidR="0088398C" w:rsidRDefault="00097E4F">
            <w:pPr>
              <w:pStyle w:val="Compact"/>
            </w:pPr>
            <w:r>
              <w:t>Must support SSO (SAML/OIDC) per tenant for enterprise customers</w:t>
            </w:r>
          </w:p>
        </w:tc>
      </w:tr>
    </w:tbl>
    <w:p w:rsidR="0088398C" w:rsidRDefault="00097E4F">
      <w:r>
        <w:pict>
          <v:rect id="_x0000_i1031" style="width:0;height:1.5pt" o:hralign="center" o:hrstd="t" o:hr="t"/>
        </w:pict>
      </w:r>
    </w:p>
    <w:p w:rsidR="0088398C" w:rsidRDefault="00097E4F">
      <w:pPr>
        <w:pStyle w:val="Heading2"/>
      </w:pPr>
      <w:bookmarkStart w:id="16" w:name="core-domain-modules"/>
      <w:bookmarkStart w:id="17" w:name="_Toc240618565"/>
      <w:bookmarkEnd w:id="14"/>
      <w:r>
        <w:t>6. Core Domain</w:t>
      </w:r>
      <w:r>
        <w:t xml:space="preserve"> Modules</w:t>
      </w:r>
      <w:bookmarkEnd w:id="17"/>
    </w:p>
    <w:p w:rsidR="0088398C" w:rsidRDefault="00097E4F">
      <w:pPr>
        <w:pStyle w:val="Heading3"/>
      </w:pPr>
      <w:bookmarkStart w:id="18" w:name="identity-access-management-iam"/>
      <w:r>
        <w:t>6.1 Identity &amp; Access Management (IAM)</w:t>
      </w:r>
    </w:p>
    <w:p w:rsidR="0088398C" w:rsidRDefault="00097E4F">
      <w:pPr>
        <w:pStyle w:val="Compact"/>
        <w:numPr>
          <w:ilvl w:val="0"/>
          <w:numId w:val="4"/>
        </w:numPr>
      </w:pPr>
      <w:r>
        <w:t>Users, roles, permissions (RBAC + attribute-based overrides, e.g. “manager can see only their direct reports’ salary”).</w:t>
      </w:r>
    </w:p>
    <w:p w:rsidR="0088398C" w:rsidRDefault="00097E4F">
      <w:pPr>
        <w:pStyle w:val="Compact"/>
        <w:numPr>
          <w:ilvl w:val="0"/>
          <w:numId w:val="4"/>
        </w:numPr>
      </w:pPr>
      <w:r>
        <w:t>Per-tenant SSO (SAML 2.0, OIDC) — this is a top-3 enterprise sales blocker if missing.</w:t>
      </w:r>
    </w:p>
    <w:p w:rsidR="0088398C" w:rsidRDefault="00097E4F">
      <w:pPr>
        <w:pStyle w:val="Compact"/>
        <w:numPr>
          <w:ilvl w:val="0"/>
          <w:numId w:val="4"/>
        </w:numPr>
      </w:pPr>
      <w:r>
        <w:t>MFA, session management, device tracking.</w:t>
      </w:r>
    </w:p>
    <w:p w:rsidR="0088398C" w:rsidRDefault="00097E4F">
      <w:pPr>
        <w:pStyle w:val="Compact"/>
        <w:numPr>
          <w:ilvl w:val="0"/>
          <w:numId w:val="4"/>
        </w:numPr>
      </w:pPr>
      <w:r>
        <w:t>Impersonation mode for support (fully audit-logged, tenant-consent gated).</w:t>
      </w:r>
    </w:p>
    <w:p w:rsidR="0088398C" w:rsidRDefault="00097E4F">
      <w:pPr>
        <w:pStyle w:val="Heading3"/>
      </w:pPr>
      <w:bookmarkStart w:id="19" w:name="core-hr-organization"/>
      <w:bookmarkEnd w:id="18"/>
      <w:r>
        <w:t>6.2 Core HR / Organization</w:t>
      </w:r>
    </w:p>
    <w:p w:rsidR="0088398C" w:rsidRDefault="00097E4F">
      <w:pPr>
        <w:pStyle w:val="Compact"/>
        <w:numPr>
          <w:ilvl w:val="0"/>
          <w:numId w:val="5"/>
        </w:numPr>
      </w:pPr>
      <w:r>
        <w:t>Employee master record (personal info, employment history, compensation history — versioned, not overwritten).</w:t>
      </w:r>
    </w:p>
    <w:p w:rsidR="0088398C" w:rsidRDefault="00097E4F">
      <w:pPr>
        <w:pStyle w:val="Compact"/>
        <w:numPr>
          <w:ilvl w:val="0"/>
          <w:numId w:val="5"/>
        </w:numPr>
      </w:pPr>
      <w:r>
        <w:t>O</w:t>
      </w:r>
      <w:r>
        <w:t>rg chart / reporting lines, departments, cost centers, locations, job families/grades.</w:t>
      </w:r>
    </w:p>
    <w:p w:rsidR="0088398C" w:rsidRDefault="00097E4F">
      <w:pPr>
        <w:pStyle w:val="Compact"/>
        <w:numPr>
          <w:ilvl w:val="0"/>
          <w:numId w:val="5"/>
        </w:numPr>
      </w:pPr>
      <w:r>
        <w:t xml:space="preserve">Custom fields per tenant (JSONB-backed, schema defined per tenant in a </w:t>
      </w:r>
      <w:r>
        <w:rPr>
          <w:rStyle w:val="VerbatimChar"/>
        </w:rPr>
        <w:t>field_definitions</w:t>
      </w:r>
      <w:r>
        <w:t xml:space="preserve"> table).</w:t>
      </w:r>
    </w:p>
    <w:p w:rsidR="0088398C" w:rsidRDefault="00097E4F">
      <w:pPr>
        <w:pStyle w:val="Compact"/>
        <w:numPr>
          <w:ilvl w:val="0"/>
          <w:numId w:val="5"/>
        </w:numPr>
      </w:pPr>
      <w:r>
        <w:t>Document vault per employee (contracts, IDs) with expiry tracking (visa,</w:t>
      </w:r>
      <w:r>
        <w:t xml:space="preserve"> certifications).</w:t>
      </w:r>
    </w:p>
    <w:p w:rsidR="0088398C" w:rsidRDefault="00097E4F">
      <w:pPr>
        <w:pStyle w:val="Heading3"/>
      </w:pPr>
      <w:bookmarkStart w:id="20" w:name="recruitment-ats"/>
      <w:bookmarkEnd w:id="19"/>
      <w:r>
        <w:t>6.3 Recruitment / ATS</w:t>
      </w:r>
    </w:p>
    <w:p w:rsidR="0088398C" w:rsidRDefault="00097E4F">
      <w:pPr>
        <w:pStyle w:val="Compact"/>
        <w:numPr>
          <w:ilvl w:val="0"/>
          <w:numId w:val="6"/>
        </w:numPr>
      </w:pPr>
      <w:r>
        <w:t>Job requisition → approval workflow → job posting (internal careers page + job board syndication).</w:t>
      </w:r>
    </w:p>
    <w:p w:rsidR="0088398C" w:rsidRDefault="00097E4F">
      <w:pPr>
        <w:pStyle w:val="Compact"/>
        <w:numPr>
          <w:ilvl w:val="0"/>
          <w:numId w:val="6"/>
        </w:numPr>
      </w:pPr>
      <w:r>
        <w:t>Candidate pipeline (stages, kanban), interview scheduling, scorecards.</w:t>
      </w:r>
    </w:p>
    <w:p w:rsidR="0088398C" w:rsidRDefault="00097E4F">
      <w:pPr>
        <w:pStyle w:val="Compact"/>
        <w:numPr>
          <w:ilvl w:val="0"/>
          <w:numId w:val="6"/>
        </w:numPr>
      </w:pPr>
      <w:r>
        <w:t>Resume parsing (AI Agent Layer) → structured candidate profile.</w:t>
      </w:r>
    </w:p>
    <w:p w:rsidR="0088398C" w:rsidRDefault="00097E4F">
      <w:pPr>
        <w:pStyle w:val="Compact"/>
        <w:numPr>
          <w:ilvl w:val="0"/>
          <w:numId w:val="6"/>
        </w:numPr>
      </w:pPr>
      <w:r>
        <w:t>Offer letter generation and e-signature integration.</w:t>
      </w:r>
    </w:p>
    <w:p w:rsidR="0088398C" w:rsidRDefault="00097E4F">
      <w:pPr>
        <w:pStyle w:val="Heading3"/>
      </w:pPr>
      <w:bookmarkStart w:id="21" w:name="onboarding-offboarding"/>
      <w:bookmarkEnd w:id="20"/>
      <w:r>
        <w:t>6.4 Onboarding / Offboarding</w:t>
      </w:r>
    </w:p>
    <w:p w:rsidR="0088398C" w:rsidRDefault="00097E4F">
      <w:pPr>
        <w:pStyle w:val="Compact"/>
        <w:numPr>
          <w:ilvl w:val="0"/>
          <w:numId w:val="7"/>
        </w:numPr>
      </w:pPr>
      <w:r>
        <w:t>Templated, role-based checklists (IT provisioning, paperwork, training assignment).</w:t>
      </w:r>
    </w:p>
    <w:p w:rsidR="0088398C" w:rsidRDefault="00097E4F">
      <w:pPr>
        <w:pStyle w:val="Compact"/>
        <w:numPr>
          <w:ilvl w:val="0"/>
          <w:numId w:val="7"/>
        </w:numPr>
      </w:pPr>
      <w:r>
        <w:t>Triggered automatically by</w:t>
      </w:r>
      <w:r>
        <w:t xml:space="preserve"> a “candidate → employee” domain event.</w:t>
      </w:r>
    </w:p>
    <w:p w:rsidR="0088398C" w:rsidRDefault="00097E4F">
      <w:pPr>
        <w:pStyle w:val="Compact"/>
        <w:numPr>
          <w:ilvl w:val="0"/>
          <w:numId w:val="7"/>
        </w:numPr>
      </w:pPr>
      <w:r>
        <w:t>Offboarding mirrors onboarding: asset return, access revocation event published to IAM, exit interview, final settlement trigger to Payroll.</w:t>
      </w:r>
    </w:p>
    <w:p w:rsidR="0088398C" w:rsidRDefault="00097E4F">
      <w:pPr>
        <w:pStyle w:val="Heading3"/>
      </w:pPr>
      <w:bookmarkStart w:id="22" w:name="time-attendance"/>
      <w:bookmarkEnd w:id="21"/>
      <w:r>
        <w:lastRenderedPageBreak/>
        <w:t>6.5 Time &amp; Attendance</w:t>
      </w:r>
    </w:p>
    <w:p w:rsidR="0088398C" w:rsidRDefault="00097E4F">
      <w:pPr>
        <w:pStyle w:val="Compact"/>
        <w:numPr>
          <w:ilvl w:val="0"/>
          <w:numId w:val="8"/>
        </w:numPr>
      </w:pPr>
      <w:r>
        <w:t xml:space="preserve">Clock-in/out (web, mobile with geofencing, biometric </w:t>
      </w:r>
      <w:r>
        <w:t>device integration via webhook/API).</w:t>
      </w:r>
    </w:p>
    <w:p w:rsidR="0088398C" w:rsidRDefault="00097E4F">
      <w:pPr>
        <w:pStyle w:val="Compact"/>
        <w:numPr>
          <w:ilvl w:val="0"/>
          <w:numId w:val="8"/>
        </w:numPr>
      </w:pPr>
      <w:r>
        <w:t>Shift scheduling, overtime rules engine (configurable per tenant/country).</w:t>
      </w:r>
    </w:p>
    <w:p w:rsidR="0088398C" w:rsidRDefault="00097E4F">
      <w:pPr>
        <w:pStyle w:val="Compact"/>
        <w:numPr>
          <w:ilvl w:val="0"/>
          <w:numId w:val="8"/>
        </w:numPr>
      </w:pPr>
      <w:r>
        <w:t>Feeds Payroll and Leave modules via events.</w:t>
      </w:r>
    </w:p>
    <w:p w:rsidR="0088398C" w:rsidRDefault="00097E4F">
      <w:pPr>
        <w:pStyle w:val="Heading3"/>
      </w:pPr>
      <w:bookmarkStart w:id="23" w:name="leave-management"/>
      <w:bookmarkEnd w:id="22"/>
      <w:r>
        <w:t>6.6 Leave Management</w:t>
      </w:r>
    </w:p>
    <w:p w:rsidR="0088398C" w:rsidRDefault="00097E4F">
      <w:pPr>
        <w:pStyle w:val="Compact"/>
        <w:numPr>
          <w:ilvl w:val="0"/>
          <w:numId w:val="9"/>
        </w:numPr>
      </w:pPr>
      <w:r>
        <w:t>Configurable leave types/policies per country/tenant (accrual rules, carry-forw</w:t>
      </w:r>
      <w:r>
        <w:t>ard, encashment).</w:t>
      </w:r>
    </w:p>
    <w:p w:rsidR="0088398C" w:rsidRDefault="00097E4F">
      <w:pPr>
        <w:pStyle w:val="Compact"/>
        <w:numPr>
          <w:ilvl w:val="0"/>
          <w:numId w:val="9"/>
        </w:numPr>
      </w:pPr>
      <w:r>
        <w:t>Approval workflow engine (reusable — also used by expense claims, ATS approvals, etc.).</w:t>
      </w:r>
    </w:p>
    <w:p w:rsidR="0088398C" w:rsidRDefault="00097E4F">
      <w:pPr>
        <w:pStyle w:val="Compact"/>
        <w:numPr>
          <w:ilvl w:val="0"/>
          <w:numId w:val="9"/>
        </w:numPr>
      </w:pPr>
      <w:r>
        <w:t>Calendar integration (Google/Outlook) for team visibility.</w:t>
      </w:r>
    </w:p>
    <w:p w:rsidR="0088398C" w:rsidRDefault="00097E4F">
      <w:pPr>
        <w:pStyle w:val="Heading3"/>
      </w:pPr>
      <w:bookmarkStart w:id="24" w:name="payroll-compensation-extracted-service"/>
      <w:bookmarkEnd w:id="23"/>
      <w:r>
        <w:t xml:space="preserve">6.7 Payroll &amp; Compensation </w:t>
      </w:r>
      <w:r>
        <w:rPr>
          <w:i/>
          <w:iCs/>
        </w:rPr>
        <w:t>(extracted service)</w:t>
      </w:r>
    </w:p>
    <w:p w:rsidR="0088398C" w:rsidRDefault="00097E4F">
      <w:pPr>
        <w:pStyle w:val="Compact"/>
        <w:numPr>
          <w:ilvl w:val="0"/>
          <w:numId w:val="10"/>
        </w:numPr>
      </w:pPr>
      <w:r>
        <w:t>Country-specific payroll engines (tax, statu</w:t>
      </w:r>
      <w:r>
        <w:t>tory deductions) — this is the module most worth isolating early, both for compliance-blast-radius reasons and because you may license/partner with a payroll compliance vendor (e.g. Deel, Rippling-style partners, or local providers) rather than building ev</w:t>
      </w:r>
      <w:r>
        <w:t>ery country’s tax logic yourself.</w:t>
      </w:r>
    </w:p>
    <w:p w:rsidR="0088398C" w:rsidRDefault="00097E4F">
      <w:pPr>
        <w:pStyle w:val="Compact"/>
        <w:numPr>
          <w:ilvl w:val="0"/>
          <w:numId w:val="10"/>
        </w:numPr>
      </w:pPr>
      <w:r>
        <w:t>Salary structures, bonuses, deductions, reimbursements.</w:t>
      </w:r>
    </w:p>
    <w:p w:rsidR="0088398C" w:rsidRDefault="00097E4F">
      <w:pPr>
        <w:pStyle w:val="Compact"/>
        <w:numPr>
          <w:ilvl w:val="0"/>
          <w:numId w:val="10"/>
        </w:numPr>
      </w:pPr>
      <w:r>
        <w:t>Payslip generation (PDF), bank file generation for disbursement.</w:t>
      </w:r>
    </w:p>
    <w:p w:rsidR="0088398C" w:rsidRDefault="00097E4F">
      <w:pPr>
        <w:pStyle w:val="Compact"/>
        <w:numPr>
          <w:ilvl w:val="0"/>
          <w:numId w:val="10"/>
        </w:numPr>
      </w:pPr>
      <w:r>
        <w:t>Immutable payroll run records (financial audit requirement — never update in place, always version).</w:t>
      </w:r>
    </w:p>
    <w:p w:rsidR="0088398C" w:rsidRDefault="00097E4F">
      <w:pPr>
        <w:pStyle w:val="Heading3"/>
      </w:pPr>
      <w:bookmarkStart w:id="25" w:name="performance-management"/>
      <w:bookmarkEnd w:id="24"/>
      <w:r>
        <w:t>6.8 Performance Management</w:t>
      </w:r>
    </w:p>
    <w:p w:rsidR="0088398C" w:rsidRDefault="00097E4F">
      <w:pPr>
        <w:pStyle w:val="Compact"/>
        <w:numPr>
          <w:ilvl w:val="0"/>
          <w:numId w:val="11"/>
        </w:numPr>
      </w:pPr>
      <w:r>
        <w:t>Goal setting (OKR/KPI), continuous feedback, 360° reviews, review cycles.</w:t>
      </w:r>
    </w:p>
    <w:p w:rsidR="0088398C" w:rsidRDefault="00097E4F">
      <w:pPr>
        <w:pStyle w:val="Compact"/>
        <w:numPr>
          <w:ilvl w:val="0"/>
          <w:numId w:val="11"/>
        </w:numPr>
      </w:pPr>
      <w:r>
        <w:t>Calibration workflows for managers/HRBPs.</w:t>
      </w:r>
    </w:p>
    <w:p w:rsidR="0088398C" w:rsidRDefault="00097E4F">
      <w:pPr>
        <w:pStyle w:val="Heading3"/>
      </w:pPr>
      <w:bookmarkStart w:id="26" w:name="benefits-administration"/>
      <w:bookmarkEnd w:id="25"/>
      <w:r>
        <w:t>6.9 Benefits Administration</w:t>
      </w:r>
    </w:p>
    <w:p w:rsidR="0088398C" w:rsidRDefault="00097E4F">
      <w:pPr>
        <w:pStyle w:val="Compact"/>
        <w:numPr>
          <w:ilvl w:val="0"/>
          <w:numId w:val="12"/>
        </w:numPr>
      </w:pPr>
      <w:r>
        <w:t>Benefit plans (health, retirement, etc.), enrollment windows, life-event changes.</w:t>
      </w:r>
    </w:p>
    <w:p w:rsidR="0088398C" w:rsidRDefault="00097E4F">
      <w:pPr>
        <w:pStyle w:val="Compact"/>
        <w:numPr>
          <w:ilvl w:val="0"/>
          <w:numId w:val="12"/>
        </w:numPr>
      </w:pPr>
      <w:r>
        <w:t>Carrier integration (EDI 834 or partner APIs) for US market; localized equivalents elsewhere.</w:t>
      </w:r>
    </w:p>
    <w:p w:rsidR="0088398C" w:rsidRDefault="00097E4F">
      <w:pPr>
        <w:pStyle w:val="Heading3"/>
      </w:pPr>
      <w:bookmarkStart w:id="27" w:name="learning-development"/>
      <w:bookmarkEnd w:id="26"/>
      <w:r>
        <w:t>6.10 Learning &amp; Development</w:t>
      </w:r>
    </w:p>
    <w:p w:rsidR="0088398C" w:rsidRDefault="00097E4F">
      <w:pPr>
        <w:pStyle w:val="Compact"/>
        <w:numPr>
          <w:ilvl w:val="0"/>
          <w:numId w:val="13"/>
        </w:numPr>
      </w:pPr>
      <w:r>
        <w:t>Course catalog, assignment (manual or policy-triggered, e.g. compliance training on hire), completion tracking, certifications with ex</w:t>
      </w:r>
      <w:r>
        <w:t>piry.</w:t>
      </w:r>
    </w:p>
    <w:p w:rsidR="0088398C" w:rsidRDefault="00097E4F">
      <w:pPr>
        <w:pStyle w:val="Heading3"/>
      </w:pPr>
      <w:bookmarkStart w:id="28" w:name="employee-manager-self-service-essmss"/>
      <w:bookmarkEnd w:id="27"/>
      <w:r>
        <w:t>6.11 Employee &amp; Manager Self-Service (ESS/MSS)</w:t>
      </w:r>
    </w:p>
    <w:p w:rsidR="0088398C" w:rsidRDefault="00097E4F">
      <w:pPr>
        <w:pStyle w:val="Compact"/>
        <w:numPr>
          <w:ilvl w:val="0"/>
          <w:numId w:val="14"/>
        </w:numPr>
      </w:pPr>
      <w:r>
        <w:t>Not a separate backend module — a frontend surface composed from the above modules’ APIs, scoped by role.</w:t>
      </w:r>
    </w:p>
    <w:p w:rsidR="0088398C" w:rsidRDefault="00097E4F">
      <w:pPr>
        <w:pStyle w:val="Heading3"/>
      </w:pPr>
      <w:bookmarkStart w:id="29" w:name="analytics-reporting"/>
      <w:bookmarkEnd w:id="28"/>
      <w:r>
        <w:t>6.12 Analytics &amp; Reporting</w:t>
      </w:r>
    </w:p>
    <w:p w:rsidR="0088398C" w:rsidRDefault="00097E4F">
      <w:pPr>
        <w:pStyle w:val="Compact"/>
        <w:numPr>
          <w:ilvl w:val="0"/>
          <w:numId w:val="15"/>
        </w:numPr>
      </w:pPr>
      <w:r>
        <w:t>Pre-built reports (headcount, attrition, DEI, comp ratio) + custom rep</w:t>
      </w:r>
      <w:r>
        <w:t>ort builder.</w:t>
      </w:r>
    </w:p>
    <w:p w:rsidR="0088398C" w:rsidRDefault="00097E4F">
      <w:pPr>
        <w:pStyle w:val="Compact"/>
        <w:numPr>
          <w:ilvl w:val="0"/>
          <w:numId w:val="15"/>
        </w:numPr>
      </w:pPr>
      <w:r>
        <w:t>Reads from the data warehouse (via CDC/ETL from Postgres), never the OLTP DB directly, to avoid reporting queries degrading transactional performance.</w:t>
      </w:r>
    </w:p>
    <w:p w:rsidR="0088398C" w:rsidRDefault="00097E4F">
      <w:pPr>
        <w:pStyle w:val="Heading3"/>
      </w:pPr>
      <w:bookmarkStart w:id="30" w:name="compliance-audit"/>
      <w:bookmarkEnd w:id="29"/>
      <w:r>
        <w:lastRenderedPageBreak/>
        <w:t>6.13 Compliance &amp; Audit</w:t>
      </w:r>
    </w:p>
    <w:p w:rsidR="0088398C" w:rsidRDefault="00097E4F">
      <w:pPr>
        <w:pStyle w:val="Compact"/>
        <w:numPr>
          <w:ilvl w:val="0"/>
          <w:numId w:val="16"/>
        </w:numPr>
      </w:pPr>
      <w:r>
        <w:t>Immutable audit log (who changed what, when, from where) — implement</w:t>
      </w:r>
      <w:r>
        <w:t>ed as an event-sourced append-only table, tenant-scoped, exportable for SOC 2 / ISO 27001 evidence.</w:t>
      </w:r>
    </w:p>
    <w:p w:rsidR="0088398C" w:rsidRDefault="00097E4F">
      <w:pPr>
        <w:pStyle w:val="Compact"/>
        <w:numPr>
          <w:ilvl w:val="0"/>
          <w:numId w:val="16"/>
        </w:numPr>
      </w:pPr>
      <w:r>
        <w:t>Data retention policies, right-to-erasure workflows (GDPR), consent tracking.</w:t>
      </w:r>
    </w:p>
    <w:p w:rsidR="0088398C" w:rsidRDefault="00097E4F">
      <w:r>
        <w:pict>
          <v:rect id="_x0000_i1032" style="width:0;height:1.5pt" o:hralign="center" o:hrstd="t" o:hr="t"/>
        </w:pict>
      </w:r>
    </w:p>
    <w:p w:rsidR="0088398C" w:rsidRDefault="00097E4F">
      <w:pPr>
        <w:pStyle w:val="Heading2"/>
      </w:pPr>
      <w:bookmarkStart w:id="31" w:name="ai-agent-layer"/>
      <w:bookmarkStart w:id="32" w:name="_Toc240618566"/>
      <w:bookmarkEnd w:id="16"/>
      <w:bookmarkEnd w:id="30"/>
      <w:r>
        <w:t>7. AI Agent Layer</w:t>
      </w:r>
      <w:bookmarkEnd w:id="32"/>
    </w:p>
    <w:p w:rsidR="0088398C" w:rsidRDefault="00097E4F">
      <w:pPr>
        <w:pStyle w:val="FirstParagraph"/>
      </w:pPr>
      <w:r>
        <w:t xml:space="preserve">This is the layer the user specifically wants exposed — designed as a </w:t>
      </w:r>
      <w:r>
        <w:rPr>
          <w:b/>
          <w:bCs/>
        </w:rPr>
        <w:t>peer consumer of the platform API</w:t>
      </w:r>
      <w:r>
        <w:t>, not a privileged internal component.</w:t>
      </w:r>
    </w:p>
    <w:p w:rsidR="0088398C" w:rsidRDefault="00097E4F">
      <w:pPr>
        <w:pStyle w:val="CaptionedFigure"/>
      </w:pPr>
      <w:r>
        <w:rPr>
          <w:noProof/>
        </w:rPr>
        <w:drawing>
          <wp:inline distT="0" distB="0" distL="0" distR="0">
            <wp:extent cx="5334000" cy="1706880"/>
            <wp:effectExtent l="0" t="0" r="0" b="0"/>
            <wp:docPr id="45" name="Picture" descr="AI Agent Layer architecture"/>
            <wp:cNvGraphicFramePr/>
            <a:graphic xmlns:a="http://schemas.openxmlformats.org/drawingml/2006/main">
              <a:graphicData uri="http://schemas.openxmlformats.org/drawingml/2006/picture">
                <pic:pic xmlns:pic="http://schemas.openxmlformats.org/drawingml/2006/picture">
                  <pic:nvPicPr>
                    <pic:cNvPr id="46" name="Picture" descr="diagrams/diagram2.png"/>
                    <pic:cNvPicPr>
                      <a:picLocks noChangeAspect="1" noChangeArrowheads="1"/>
                    </pic:cNvPicPr>
                  </pic:nvPicPr>
                  <pic:blipFill>
                    <a:blip r:embed="rId8"/>
                    <a:stretch>
                      <a:fillRect/>
                    </a:stretch>
                  </pic:blipFill>
                  <pic:spPr bwMode="auto">
                    <a:xfrm>
                      <a:off x="0" y="0"/>
                      <a:ext cx="5334000" cy="1706880"/>
                    </a:xfrm>
                    <a:prstGeom prst="rect">
                      <a:avLst/>
                    </a:prstGeom>
                    <a:noFill/>
                    <a:ln w="9525">
                      <a:noFill/>
                      <a:headEnd/>
                      <a:tailEnd/>
                    </a:ln>
                  </pic:spPr>
                </pic:pic>
              </a:graphicData>
            </a:graphic>
          </wp:inline>
        </w:drawing>
      </w:r>
    </w:p>
    <w:p w:rsidR="0088398C" w:rsidRDefault="00097E4F">
      <w:pPr>
        <w:pStyle w:val="ImageCaption"/>
      </w:pPr>
      <w:r>
        <w:t>AI Agent Layer architecture</w:t>
      </w:r>
    </w:p>
    <w:p w:rsidR="0088398C" w:rsidRDefault="00097E4F">
      <w:pPr>
        <w:pStyle w:val="BodyText"/>
      </w:pPr>
      <w:r>
        <w:rPr>
          <w:b/>
          <w:bCs/>
        </w:rPr>
        <w:t>Design rules for the AI Agent Service:</w:t>
      </w:r>
    </w:p>
    <w:p w:rsidR="0088398C" w:rsidRDefault="00097E4F">
      <w:pPr>
        <w:pStyle w:val="Compact"/>
        <w:numPr>
          <w:ilvl w:val="0"/>
          <w:numId w:val="17"/>
        </w:numPr>
      </w:pPr>
      <w:r>
        <w:rPr>
          <w:b/>
          <w:bCs/>
        </w:rPr>
        <w:t>No direct DB access.</w:t>
      </w:r>
      <w:r>
        <w:t xml:space="preserve"> The agent calls the same</w:t>
      </w:r>
      <w:r>
        <w:t xml:space="preserve"> authenticated REST/GraphQL API every other client uses, under a service-account identity scoped by the requesting user’s actual permissions (never elevated).</w:t>
      </w:r>
    </w:p>
    <w:p w:rsidR="0088398C" w:rsidRDefault="00097E4F">
      <w:pPr>
        <w:pStyle w:val="Compact"/>
        <w:numPr>
          <w:ilvl w:val="0"/>
          <w:numId w:val="17"/>
        </w:numPr>
      </w:pPr>
      <w:r>
        <w:rPr>
          <w:b/>
          <w:bCs/>
        </w:rPr>
        <w:t>Tool-use pattern.</w:t>
      </w:r>
      <w:r>
        <w:t xml:space="preserve"> Expose discrete, narrow tools to the LLM: </w:t>
      </w:r>
      <w:r>
        <w:rPr>
          <w:rStyle w:val="VerbatimChar"/>
        </w:rPr>
        <w:t>get_leave_balance</w:t>
      </w:r>
      <w:r>
        <w:t xml:space="preserve">, </w:t>
      </w:r>
      <w:r>
        <w:rPr>
          <w:rStyle w:val="VerbatimChar"/>
        </w:rPr>
        <w:t>submit_leave_reque</w:t>
      </w:r>
      <w:r>
        <w:rPr>
          <w:rStyle w:val="VerbatimChar"/>
        </w:rPr>
        <w:t>st</w:t>
      </w:r>
      <w:r>
        <w:t xml:space="preserve">, </w:t>
      </w:r>
      <w:r>
        <w:rPr>
          <w:rStyle w:val="VerbatimChar"/>
        </w:rPr>
        <w:t>search_policy_docs</w:t>
      </w:r>
      <w:r>
        <w:t xml:space="preserve">, </w:t>
      </w:r>
      <w:r>
        <w:rPr>
          <w:rStyle w:val="VerbatimChar"/>
        </w:rPr>
        <w:t>get_employee_org_chart</w:t>
      </w:r>
      <w:r>
        <w:t xml:space="preserve">, </w:t>
      </w:r>
      <w:r>
        <w:rPr>
          <w:rStyle w:val="VerbatimChar"/>
        </w:rPr>
        <w:t>create_ats_candidate_note</w:t>
      </w:r>
      <w:r>
        <w:t>. Never a generic “run this SQL” or “call this endpoint” tool.</w:t>
      </w:r>
    </w:p>
    <w:p w:rsidR="0088398C" w:rsidRDefault="00097E4F">
      <w:pPr>
        <w:pStyle w:val="Compact"/>
        <w:numPr>
          <w:ilvl w:val="0"/>
          <w:numId w:val="17"/>
        </w:numPr>
      </w:pPr>
      <w:r>
        <w:rPr>
          <w:b/>
          <w:bCs/>
        </w:rPr>
        <w:t>Human-in-the-loop for anything mutating pay, employment status, or legal documents.</w:t>
      </w:r>
      <w:r>
        <w:t xml:space="preserve"> The agent can </w:t>
      </w:r>
      <w:r>
        <w:rPr>
          <w:i/>
          <w:iCs/>
        </w:rPr>
        <w:t>draft</w:t>
      </w:r>
      <w:r>
        <w:t xml:space="preserve"> an offer letter </w:t>
      </w:r>
      <w:r>
        <w:t xml:space="preserve">or </w:t>
      </w:r>
      <w:r>
        <w:rPr>
          <w:i/>
          <w:iCs/>
        </w:rPr>
        <w:t>propose</w:t>
      </w:r>
      <w:r>
        <w:t xml:space="preserve"> a payroll correction; a human approves before it’s committed. Read-only and low-stakes actions (checking leave balance, answering a policy question, scheduling an interview slot) can be fully autonomous.</w:t>
      </w:r>
    </w:p>
    <w:p w:rsidR="0088398C" w:rsidRDefault="00097E4F">
      <w:pPr>
        <w:pStyle w:val="Compact"/>
        <w:numPr>
          <w:ilvl w:val="0"/>
          <w:numId w:val="17"/>
        </w:numPr>
      </w:pPr>
      <w:r>
        <w:rPr>
          <w:b/>
          <w:bCs/>
        </w:rPr>
        <w:t xml:space="preserve">Every agent action is logged to the same </w:t>
      </w:r>
      <w:r>
        <w:rPr>
          <w:b/>
          <w:bCs/>
        </w:rPr>
        <w:t>audit trail as human actions</w:t>
      </w:r>
      <w:r>
        <w:t>, tagged with the acting user and the agent session, and reviewable by that tenant’s admins.</w:t>
      </w:r>
    </w:p>
    <w:p w:rsidR="0088398C" w:rsidRDefault="00097E4F">
      <w:pPr>
        <w:pStyle w:val="Compact"/>
        <w:numPr>
          <w:ilvl w:val="0"/>
          <w:numId w:val="17"/>
        </w:numPr>
      </w:pPr>
      <w:r>
        <w:rPr>
          <w:b/>
          <w:bCs/>
        </w:rPr>
        <w:t>RAG for policy Q&amp;A.</w:t>
      </w:r>
      <w:r>
        <w:t xml:space="preserve"> Tenant HR policy documents are chunked and embedded into the search index at upload time; the chatbot retrieves rel</w:t>
      </w:r>
      <w:r>
        <w:t>evant chunks and answers with citations, scoped strictly to that tenant’s documents.</w:t>
      </w:r>
    </w:p>
    <w:p w:rsidR="0088398C" w:rsidRDefault="00097E4F">
      <w:pPr>
        <w:pStyle w:val="FirstParagraph"/>
      </w:pPr>
      <w:r>
        <w:rPr>
          <w:b/>
          <w:bCs/>
        </w:rPr>
        <w:t>Concrete AI-agent use cases to build, roughly in order of ROI:</w:t>
      </w:r>
    </w:p>
    <w:p w:rsidR="0088398C" w:rsidRDefault="00097E4F">
      <w:pPr>
        <w:pStyle w:val="Compact"/>
        <w:numPr>
          <w:ilvl w:val="0"/>
          <w:numId w:val="18"/>
        </w:numPr>
      </w:pPr>
      <w:r>
        <w:t>Resume parsing &amp; structured candidate extraction (ATS)</w:t>
      </w:r>
    </w:p>
    <w:p w:rsidR="0088398C" w:rsidRDefault="00097E4F">
      <w:pPr>
        <w:pStyle w:val="Compact"/>
        <w:numPr>
          <w:ilvl w:val="0"/>
          <w:numId w:val="18"/>
        </w:numPr>
      </w:pPr>
      <w:r>
        <w:lastRenderedPageBreak/>
        <w:t>HR policy chatbot (RAG over tenant’s own handbook/policies)</w:t>
      </w:r>
    </w:p>
    <w:p w:rsidR="0088398C" w:rsidRDefault="00097E4F">
      <w:pPr>
        <w:pStyle w:val="Compact"/>
        <w:numPr>
          <w:ilvl w:val="0"/>
          <w:numId w:val="18"/>
        </w:numPr>
      </w:pPr>
      <w:r>
        <w:t>Natural-language leave/attendance requests (“I’ll be out Thursday and Friday”)</w:t>
      </w:r>
    </w:p>
    <w:p w:rsidR="0088398C" w:rsidRDefault="00097E4F">
      <w:pPr>
        <w:pStyle w:val="Compact"/>
        <w:numPr>
          <w:ilvl w:val="0"/>
          <w:numId w:val="18"/>
        </w:numPr>
      </w:pPr>
      <w:r>
        <w:t>Interview scheduling assistant</w:t>
      </w:r>
    </w:p>
    <w:p w:rsidR="0088398C" w:rsidRDefault="00097E4F">
      <w:pPr>
        <w:pStyle w:val="Compact"/>
        <w:numPr>
          <w:ilvl w:val="0"/>
          <w:numId w:val="18"/>
        </w:numPr>
      </w:pPr>
      <w:r>
        <w:t>Attrition risk scoring (batch job, not chat — flags at-risk employees for HRBPs)</w:t>
      </w:r>
    </w:p>
    <w:p w:rsidR="0088398C" w:rsidRDefault="00097E4F">
      <w:pPr>
        <w:pStyle w:val="Compact"/>
        <w:numPr>
          <w:ilvl w:val="0"/>
          <w:numId w:val="18"/>
        </w:numPr>
      </w:pPr>
      <w:r>
        <w:t>Payro</w:t>
      </w:r>
      <w:r>
        <w:t>ll anomaly detection (flags outlier pay runs for human review, never auto-corrects)</w:t>
      </w:r>
    </w:p>
    <w:p w:rsidR="0088398C" w:rsidRDefault="00097E4F">
      <w:pPr>
        <w:pStyle w:val="Compact"/>
        <w:numPr>
          <w:ilvl w:val="0"/>
          <w:numId w:val="18"/>
        </w:numPr>
      </w:pPr>
      <w:r>
        <w:t>Onboarding assistant answering new-hire FAQs</w:t>
      </w:r>
    </w:p>
    <w:p w:rsidR="0088398C" w:rsidRDefault="00097E4F">
      <w:r>
        <w:pict>
          <v:rect id="_x0000_i1033" style="width:0;height:1.5pt" o:hralign="center" o:hrstd="t" o:hr="t"/>
        </w:pict>
      </w:r>
    </w:p>
    <w:p w:rsidR="0088398C" w:rsidRDefault="00097E4F">
      <w:pPr>
        <w:pStyle w:val="Heading2"/>
      </w:pPr>
      <w:bookmarkStart w:id="33" w:name="data-architecture"/>
      <w:bookmarkStart w:id="34" w:name="_Toc240618567"/>
      <w:bookmarkEnd w:id="31"/>
      <w:r>
        <w:t>8. Data Architecture</w:t>
      </w:r>
      <w:bookmarkEnd w:id="34"/>
    </w:p>
    <w:p w:rsidR="0088398C" w:rsidRDefault="00097E4F">
      <w:pPr>
        <w:pStyle w:val="Heading3"/>
      </w:pPr>
      <w:bookmarkStart w:id="35" w:name="core-entity-relationships-simplified"/>
      <w:r>
        <w:t>8.1 Core entity relationships (simplified)</w:t>
      </w:r>
    </w:p>
    <w:p w:rsidR="0088398C" w:rsidRDefault="00097E4F">
      <w:pPr>
        <w:pStyle w:val="CaptionedFigure"/>
      </w:pPr>
      <w:r>
        <w:rPr>
          <w:noProof/>
        </w:rPr>
        <w:drawing>
          <wp:inline distT="0" distB="0" distL="0" distR="0">
            <wp:extent cx="5334000" cy="1378449"/>
            <wp:effectExtent l="0" t="0" r="0" b="0"/>
            <wp:docPr id="49" name="Picture" descr="Core entity relationships"/>
            <wp:cNvGraphicFramePr/>
            <a:graphic xmlns:a="http://schemas.openxmlformats.org/drawingml/2006/main">
              <a:graphicData uri="http://schemas.openxmlformats.org/drawingml/2006/picture">
                <pic:pic xmlns:pic="http://schemas.openxmlformats.org/drawingml/2006/picture">
                  <pic:nvPicPr>
                    <pic:cNvPr id="50" name="Picture" descr="diagrams/diagram3.png"/>
                    <pic:cNvPicPr>
                      <a:picLocks noChangeAspect="1" noChangeArrowheads="1"/>
                    </pic:cNvPicPr>
                  </pic:nvPicPr>
                  <pic:blipFill>
                    <a:blip r:embed="rId9"/>
                    <a:stretch>
                      <a:fillRect/>
                    </a:stretch>
                  </pic:blipFill>
                  <pic:spPr bwMode="auto">
                    <a:xfrm>
                      <a:off x="0" y="0"/>
                      <a:ext cx="5334000" cy="1378449"/>
                    </a:xfrm>
                    <a:prstGeom prst="rect">
                      <a:avLst/>
                    </a:prstGeom>
                    <a:noFill/>
                    <a:ln w="9525">
                      <a:noFill/>
                      <a:headEnd/>
                      <a:tailEnd/>
                    </a:ln>
                  </pic:spPr>
                </pic:pic>
              </a:graphicData>
            </a:graphic>
          </wp:inline>
        </w:drawing>
      </w:r>
    </w:p>
    <w:p w:rsidR="0088398C" w:rsidRDefault="00097E4F">
      <w:pPr>
        <w:pStyle w:val="ImageCaption"/>
      </w:pPr>
      <w:r>
        <w:t>Core entity relationships</w:t>
      </w:r>
    </w:p>
    <w:p w:rsidR="0088398C" w:rsidRDefault="00097E4F">
      <w:pPr>
        <w:pStyle w:val="Heading3"/>
      </w:pPr>
      <w:bookmarkStart w:id="36" w:name="key-data-modeling-rules"/>
      <w:bookmarkEnd w:id="35"/>
      <w:r>
        <w:t>8.2 Key data-modeling rules</w:t>
      </w:r>
    </w:p>
    <w:p w:rsidR="0088398C" w:rsidRDefault="00097E4F">
      <w:pPr>
        <w:pStyle w:val="Compact"/>
        <w:numPr>
          <w:ilvl w:val="0"/>
          <w:numId w:val="19"/>
        </w:numPr>
      </w:pPr>
      <w:r>
        <w:rPr>
          <w:b/>
          <w:bCs/>
        </w:rPr>
        <w:t>Never</w:t>
      </w:r>
      <w:r>
        <w:rPr>
          <w:b/>
          <w:bCs/>
        </w:rPr>
        <w:t xml:space="preserve"> hard-delete</w:t>
      </w:r>
      <w:r>
        <w:t xml:space="preserve"> employee/payroll/audit records — soft delete (</w:t>
      </w:r>
      <w:r>
        <w:rPr>
          <w:rStyle w:val="VerbatimChar"/>
        </w:rPr>
        <w:t>deleted_at</w:t>
      </w:r>
      <w:r>
        <w:t>) or status flags; financial and legal retention requirements demand history.</w:t>
      </w:r>
    </w:p>
    <w:p w:rsidR="0088398C" w:rsidRDefault="00097E4F">
      <w:pPr>
        <w:pStyle w:val="Compact"/>
        <w:numPr>
          <w:ilvl w:val="0"/>
          <w:numId w:val="19"/>
        </w:numPr>
      </w:pPr>
      <w:r>
        <w:rPr>
          <w:b/>
          <w:bCs/>
        </w:rPr>
        <w:t>Compensation and employment status are versioned</w:t>
      </w:r>
      <w:r>
        <w:t xml:space="preserve"> (effective-dated rows), not overwritten — you need to answer</w:t>
      </w:r>
      <w:r>
        <w:t xml:space="preserve"> “what was this person’s salary on March 1st” for compliance and payroll reconciliation.</w:t>
      </w:r>
    </w:p>
    <w:p w:rsidR="0088398C" w:rsidRDefault="00097E4F">
      <w:pPr>
        <w:pStyle w:val="Compact"/>
        <w:numPr>
          <w:ilvl w:val="0"/>
          <w:numId w:val="19"/>
        </w:numPr>
      </w:pPr>
      <w:r>
        <w:rPr>
          <w:b/>
          <w:bCs/>
        </w:rPr>
        <w:t>Every table</w:t>
      </w:r>
      <w:r>
        <w:t xml:space="preserve"> has: </w:t>
      </w:r>
      <w:r>
        <w:rPr>
          <w:rStyle w:val="VerbatimChar"/>
        </w:rPr>
        <w:t>id (uuid)</w:t>
      </w:r>
      <w:r>
        <w:t xml:space="preserve">, </w:t>
      </w:r>
      <w:r>
        <w:rPr>
          <w:rStyle w:val="VerbatimChar"/>
        </w:rPr>
        <w:t>tenant_id</w:t>
      </w:r>
      <w:r>
        <w:t xml:space="preserve">, </w:t>
      </w:r>
      <w:r>
        <w:rPr>
          <w:rStyle w:val="VerbatimChar"/>
        </w:rPr>
        <w:t>created_at</w:t>
      </w:r>
      <w:r>
        <w:t xml:space="preserve">, </w:t>
      </w:r>
      <w:r>
        <w:rPr>
          <w:rStyle w:val="VerbatimChar"/>
        </w:rPr>
        <w:t>updated_at</w:t>
      </w:r>
      <w:r>
        <w:t xml:space="preserve">, </w:t>
      </w:r>
      <w:r>
        <w:rPr>
          <w:rStyle w:val="VerbatimChar"/>
        </w:rPr>
        <w:t>created_by</w:t>
      </w:r>
      <w:r>
        <w:t xml:space="preserve">, </w:t>
      </w:r>
      <w:r>
        <w:rPr>
          <w:rStyle w:val="VerbatimChar"/>
        </w:rPr>
        <w:t>updated_by</w:t>
      </w:r>
      <w:r>
        <w:t>.</w:t>
      </w:r>
    </w:p>
    <w:p w:rsidR="0088398C" w:rsidRDefault="00097E4F">
      <w:pPr>
        <w:pStyle w:val="Compact"/>
        <w:numPr>
          <w:ilvl w:val="0"/>
          <w:numId w:val="19"/>
        </w:numPr>
      </w:pPr>
      <w:r>
        <w:rPr>
          <w:b/>
          <w:bCs/>
        </w:rPr>
        <w:t>PII fields</w:t>
      </w:r>
      <w:r>
        <w:t xml:space="preserve"> </w:t>
      </w:r>
      <w:r>
        <w:t xml:space="preserve">(national ID, bank account, DOB) are encrypted at the column level (application-layer encryption, e.g. via </w:t>
      </w:r>
      <w:r>
        <w:rPr>
          <w:rStyle w:val="VerbatimChar"/>
        </w:rPr>
        <w:t>pgcrypto</w:t>
      </w:r>
      <w:r>
        <w:t xml:space="preserve"> or KMS-backed envelope encryption) in addition to disk encryption.</w:t>
      </w:r>
    </w:p>
    <w:p w:rsidR="0088398C" w:rsidRDefault="00097E4F">
      <w:r>
        <w:pict>
          <v:rect id="_x0000_i1034" style="width:0;height:1.5pt" o:hralign="center" o:hrstd="t" o:hr="t"/>
        </w:pict>
      </w:r>
    </w:p>
    <w:p w:rsidR="0088398C" w:rsidRDefault="00097E4F">
      <w:pPr>
        <w:pStyle w:val="Heading2"/>
      </w:pPr>
      <w:bookmarkStart w:id="37" w:name="api-architecture"/>
      <w:bookmarkStart w:id="38" w:name="_Toc240618568"/>
      <w:bookmarkEnd w:id="33"/>
      <w:bookmarkEnd w:id="36"/>
      <w:r>
        <w:t>9. API Architecture</w:t>
      </w:r>
      <w:bookmarkEnd w:id="38"/>
    </w:p>
    <w:p w:rsidR="0088398C" w:rsidRDefault="00097E4F">
      <w:pPr>
        <w:pStyle w:val="Compact"/>
        <w:numPr>
          <w:ilvl w:val="0"/>
          <w:numId w:val="20"/>
        </w:numPr>
      </w:pPr>
      <w:r>
        <w:rPr>
          <w:b/>
          <w:bCs/>
        </w:rPr>
        <w:t>REST, versioned</w:t>
      </w:r>
      <w:r>
        <w:t xml:space="preserve"> (</w:t>
      </w:r>
      <w:r>
        <w:rPr>
          <w:rStyle w:val="VerbatimChar"/>
        </w:rPr>
        <w:t>/api/v1/...</w:t>
      </w:r>
      <w:r>
        <w:t xml:space="preserve">), OpenAPI spec as the </w:t>
      </w:r>
      <w:r>
        <w:t>source of truth (generate SDKs/docs from it).</w:t>
      </w:r>
    </w:p>
    <w:p w:rsidR="0088398C" w:rsidRDefault="00097E4F">
      <w:pPr>
        <w:pStyle w:val="Compact"/>
        <w:numPr>
          <w:ilvl w:val="0"/>
          <w:numId w:val="20"/>
        </w:numPr>
      </w:pPr>
      <w:r>
        <w:rPr>
          <w:b/>
          <w:bCs/>
        </w:rPr>
        <w:t>GraphQL gateway</w:t>
      </w:r>
      <w:r>
        <w:t xml:space="preserve"> optional layer on top for the frontend, if the UI needs flexible querying across modules (e.g. an org-chart view pulling from Core HR + Performance + Attendance in one call) — avoids over-fetchi</w:t>
      </w:r>
      <w:r>
        <w:t>ng/N+1 REST calls from the client.</w:t>
      </w:r>
    </w:p>
    <w:p w:rsidR="0088398C" w:rsidRDefault="00097E4F">
      <w:pPr>
        <w:pStyle w:val="Compact"/>
        <w:numPr>
          <w:ilvl w:val="0"/>
          <w:numId w:val="20"/>
        </w:numPr>
      </w:pPr>
      <w:r>
        <w:rPr>
          <w:b/>
          <w:bCs/>
        </w:rPr>
        <w:lastRenderedPageBreak/>
        <w:t>Webhooks</w:t>
      </w:r>
      <w:r>
        <w:t xml:space="preserve"> outbound for tenant integrations (e.g. “employee.hired”, “leave.approved”, “payroll.completed”) so customers can wire the HRMS into Slack, their accounting system, etc.</w:t>
      </w:r>
    </w:p>
    <w:p w:rsidR="0088398C" w:rsidRDefault="00097E4F">
      <w:pPr>
        <w:pStyle w:val="Compact"/>
        <w:numPr>
          <w:ilvl w:val="0"/>
          <w:numId w:val="20"/>
        </w:numPr>
      </w:pPr>
      <w:r>
        <w:rPr>
          <w:b/>
          <w:bCs/>
        </w:rPr>
        <w:t>Idempotency keys</w:t>
      </w:r>
      <w:r>
        <w:t xml:space="preserve"> required on all mutating e</w:t>
      </w:r>
      <w:r>
        <w:t>ndpoints (critical for payroll and any agent-triggered actions — retries must not double-submit).</w:t>
      </w:r>
    </w:p>
    <w:p w:rsidR="0088398C" w:rsidRDefault="00097E4F">
      <w:pPr>
        <w:pStyle w:val="Compact"/>
        <w:numPr>
          <w:ilvl w:val="0"/>
          <w:numId w:val="20"/>
        </w:numPr>
      </w:pPr>
      <w:r>
        <w:rPr>
          <w:b/>
          <w:bCs/>
        </w:rPr>
        <w:t>Rate limiting</w:t>
      </w:r>
      <w:r>
        <w:t xml:space="preserve"> per tenant and per API key at the gateway.</w:t>
      </w:r>
    </w:p>
    <w:p w:rsidR="0088398C" w:rsidRDefault="00097E4F">
      <w:pPr>
        <w:pStyle w:val="FirstParagraph"/>
      </w:pPr>
      <w:r>
        <w:t>Example domain events published to the bus:</w:t>
      </w:r>
    </w:p>
    <w:p w:rsidR="0088398C" w:rsidRDefault="00097E4F">
      <w:pPr>
        <w:pStyle w:val="SourceCode"/>
      </w:pPr>
      <w:r>
        <w:rPr>
          <w:rStyle w:val="VerbatimChar"/>
        </w:rPr>
        <w:t>employee.hired</w:t>
      </w:r>
      <w:r>
        <w:br/>
      </w:r>
      <w:r>
        <w:rPr>
          <w:rStyle w:val="VerbatimChar"/>
        </w:rPr>
        <w:t>employee.terminated</w:t>
      </w:r>
      <w:r>
        <w:br/>
      </w:r>
      <w:r>
        <w:rPr>
          <w:rStyle w:val="VerbatimChar"/>
        </w:rPr>
        <w:t>leave.requested / leav</w:t>
      </w:r>
      <w:r>
        <w:rPr>
          <w:rStyle w:val="VerbatimChar"/>
        </w:rPr>
        <w:t>e.approved / leave.rejected</w:t>
      </w:r>
      <w:r>
        <w:br/>
      </w:r>
      <w:r>
        <w:rPr>
          <w:rStyle w:val="VerbatimChar"/>
        </w:rPr>
        <w:t>attendance.clocked_in / attendance.clocked_out</w:t>
      </w:r>
      <w:r>
        <w:br/>
      </w:r>
      <w:r>
        <w:rPr>
          <w:rStyle w:val="VerbatimChar"/>
        </w:rPr>
        <w:t>payroll.run_started / payroll.run_completed</w:t>
      </w:r>
      <w:r>
        <w:br/>
      </w:r>
      <w:r>
        <w:rPr>
          <w:rStyle w:val="VerbatimChar"/>
        </w:rPr>
        <w:t>candidate.stage_changed</w:t>
      </w:r>
      <w:r>
        <w:br/>
      </w:r>
      <w:r>
        <w:rPr>
          <w:rStyle w:val="VerbatimChar"/>
        </w:rPr>
        <w:t>performance_review.completed</w:t>
      </w:r>
      <w:r>
        <w:br/>
      </w:r>
      <w:r>
        <w:rPr>
          <w:rStyle w:val="VerbatimChar"/>
        </w:rPr>
        <w:t>agent.action_taken</w:t>
      </w:r>
    </w:p>
    <w:p w:rsidR="0088398C" w:rsidRDefault="00097E4F">
      <w:r>
        <w:pict>
          <v:rect id="_x0000_i1035" style="width:0;height:1.5pt" o:hralign="center" o:hrstd="t" o:hr="t"/>
        </w:pict>
      </w:r>
    </w:p>
    <w:p w:rsidR="0088398C" w:rsidRDefault="00097E4F">
      <w:pPr>
        <w:pStyle w:val="Heading2"/>
      </w:pPr>
      <w:bookmarkStart w:id="39" w:name="security-compliance"/>
      <w:bookmarkStart w:id="40" w:name="_Toc240618569"/>
      <w:bookmarkEnd w:id="37"/>
      <w:r>
        <w:t>10. Security &amp; Compliance</w:t>
      </w:r>
      <w:bookmarkEnd w:id="40"/>
    </w:p>
    <w:tbl>
      <w:tblPr>
        <w:tblStyle w:val="Table"/>
        <w:tblW w:w="5000" w:type="pct"/>
        <w:tblLook w:val="0020" w:firstRow="1" w:lastRow="0" w:firstColumn="0" w:lastColumn="0" w:noHBand="0" w:noVBand="0"/>
      </w:tblPr>
      <w:tblGrid>
        <w:gridCol w:w="1862"/>
        <w:gridCol w:w="7714"/>
      </w:tblGrid>
      <w:tr w:rsidR="0088398C" w:rsidTr="0088398C">
        <w:trPr>
          <w:cnfStyle w:val="100000000000" w:firstRow="1" w:lastRow="0" w:firstColumn="0" w:lastColumn="0" w:oddVBand="0" w:evenVBand="0" w:oddHBand="0" w:evenHBand="0" w:firstRowFirstColumn="0" w:firstRowLastColumn="0" w:lastRowFirstColumn="0" w:lastRowLastColumn="0"/>
          <w:tblHeader/>
        </w:trPr>
        <w:tc>
          <w:tcPr>
            <w:tcW w:w="0" w:type="auto"/>
          </w:tcPr>
          <w:p w:rsidR="0088398C" w:rsidRDefault="00097E4F">
            <w:pPr>
              <w:pStyle w:val="Compact"/>
            </w:pPr>
            <w:r>
              <w:t>Concern</w:t>
            </w:r>
          </w:p>
        </w:tc>
        <w:tc>
          <w:tcPr>
            <w:tcW w:w="0" w:type="auto"/>
          </w:tcPr>
          <w:p w:rsidR="0088398C" w:rsidRDefault="00097E4F">
            <w:pPr>
              <w:pStyle w:val="Compact"/>
            </w:pPr>
            <w:r>
              <w:t>Approach</w:t>
            </w:r>
          </w:p>
        </w:tc>
      </w:tr>
      <w:tr w:rsidR="0088398C">
        <w:tc>
          <w:tcPr>
            <w:tcW w:w="0" w:type="auto"/>
          </w:tcPr>
          <w:p w:rsidR="0088398C" w:rsidRDefault="00097E4F">
            <w:pPr>
              <w:pStyle w:val="Compact"/>
            </w:pPr>
            <w:r>
              <w:t>Authentication</w:t>
            </w:r>
          </w:p>
        </w:tc>
        <w:tc>
          <w:tcPr>
            <w:tcW w:w="0" w:type="auto"/>
          </w:tcPr>
          <w:p w:rsidR="0088398C" w:rsidRDefault="00097E4F">
            <w:pPr>
              <w:pStyle w:val="Compact"/>
            </w:pPr>
            <w:r>
              <w:t>OAuth2/OIDC, per-tenant SSO, MFA enforced for admin roles</w:t>
            </w:r>
          </w:p>
        </w:tc>
      </w:tr>
      <w:tr w:rsidR="0088398C">
        <w:tc>
          <w:tcPr>
            <w:tcW w:w="0" w:type="auto"/>
          </w:tcPr>
          <w:p w:rsidR="0088398C" w:rsidRDefault="00097E4F">
            <w:pPr>
              <w:pStyle w:val="Compact"/>
            </w:pPr>
            <w:r>
              <w:t>Authorization</w:t>
            </w:r>
          </w:p>
        </w:tc>
        <w:tc>
          <w:tcPr>
            <w:tcW w:w="0" w:type="auto"/>
          </w:tcPr>
          <w:p w:rsidR="0088398C" w:rsidRDefault="00097E4F">
            <w:pPr>
              <w:pStyle w:val="Compact"/>
            </w:pPr>
            <w:r>
              <w:t>RBAC with fine-grained permission scopes (</w:t>
            </w:r>
            <w:r>
              <w:rPr>
                <w:rStyle w:val="VerbatimChar"/>
              </w:rPr>
              <w:t>payroll:read</w:t>
            </w:r>
            <w:r>
              <w:t xml:space="preserve">, </w:t>
            </w:r>
            <w:r>
              <w:rPr>
                <w:rStyle w:val="VerbatimChar"/>
              </w:rPr>
              <w:t>payroll:approve</w:t>
            </w:r>
            <w:r>
              <w:t xml:space="preserve">, </w:t>
            </w:r>
            <w:r>
              <w:rPr>
                <w:rStyle w:val="VerbatimChar"/>
              </w:rPr>
              <w:t>employee:read:direct_reports_only</w:t>
            </w:r>
            <w:r>
              <w:t>)</w:t>
            </w:r>
          </w:p>
        </w:tc>
      </w:tr>
      <w:tr w:rsidR="0088398C">
        <w:tc>
          <w:tcPr>
            <w:tcW w:w="0" w:type="auto"/>
          </w:tcPr>
          <w:p w:rsidR="0088398C" w:rsidRDefault="00097E4F">
            <w:pPr>
              <w:pStyle w:val="Compact"/>
            </w:pPr>
            <w:r>
              <w:t>Encryption</w:t>
            </w:r>
          </w:p>
        </w:tc>
        <w:tc>
          <w:tcPr>
            <w:tcW w:w="0" w:type="auto"/>
          </w:tcPr>
          <w:p w:rsidR="0088398C" w:rsidRDefault="00097E4F">
            <w:pPr>
              <w:pStyle w:val="Compact"/>
            </w:pPr>
            <w:r>
              <w:t>TLS 1.2+ in transit; AES-256 at rest; column-level encryption f</w:t>
            </w:r>
            <w:r>
              <w:t>or PII; KMS-managed keys, rotated</w:t>
            </w:r>
          </w:p>
        </w:tc>
      </w:tr>
      <w:tr w:rsidR="0088398C">
        <w:tc>
          <w:tcPr>
            <w:tcW w:w="0" w:type="auto"/>
          </w:tcPr>
          <w:p w:rsidR="0088398C" w:rsidRDefault="00097E4F">
            <w:pPr>
              <w:pStyle w:val="Compact"/>
            </w:pPr>
            <w:r>
              <w:t>Audit</w:t>
            </w:r>
          </w:p>
        </w:tc>
        <w:tc>
          <w:tcPr>
            <w:tcW w:w="0" w:type="auto"/>
          </w:tcPr>
          <w:p w:rsidR="0088398C" w:rsidRDefault="00097E4F">
            <w:pPr>
              <w:pStyle w:val="Compact"/>
            </w:pPr>
            <w:r>
              <w:t>Append-only audit log, tenant-scoped, exportable</w:t>
            </w:r>
          </w:p>
        </w:tc>
      </w:tr>
      <w:tr w:rsidR="0088398C">
        <w:tc>
          <w:tcPr>
            <w:tcW w:w="0" w:type="auto"/>
          </w:tcPr>
          <w:p w:rsidR="0088398C" w:rsidRDefault="00097E4F">
            <w:pPr>
              <w:pStyle w:val="Compact"/>
            </w:pPr>
            <w:r>
              <w:t>Data residency</w:t>
            </w:r>
          </w:p>
        </w:tc>
        <w:tc>
          <w:tcPr>
            <w:tcW w:w="0" w:type="auto"/>
          </w:tcPr>
          <w:p w:rsidR="0088398C" w:rsidRDefault="00097E4F">
            <w:pPr>
              <w:pStyle w:val="Compact"/>
            </w:pPr>
            <w:r>
              <w:t>Region-pinned deployments (EU tenant data stays in EU) — configurable per tenant from day one, even if you only actually deploy one region initially</w:t>
            </w:r>
          </w:p>
        </w:tc>
      </w:tr>
      <w:tr w:rsidR="0088398C">
        <w:tc>
          <w:tcPr>
            <w:tcW w:w="0" w:type="auto"/>
          </w:tcPr>
          <w:p w:rsidR="0088398C" w:rsidRDefault="00097E4F">
            <w:pPr>
              <w:pStyle w:val="Compact"/>
            </w:pPr>
            <w:r>
              <w:t>Compliance targets</w:t>
            </w:r>
          </w:p>
        </w:tc>
        <w:tc>
          <w:tcPr>
            <w:tcW w:w="0" w:type="auto"/>
          </w:tcPr>
          <w:p w:rsidR="0088398C" w:rsidRDefault="00097E4F">
            <w:pPr>
              <w:pStyle w:val="Compact"/>
            </w:pPr>
            <w:r>
              <w:t xml:space="preserve">SOC 2 Type II, ISO 27001, GDPR, and </w:t>
            </w:r>
            <w:r>
              <w:rPr>
                <w:i/>
                <w:iCs/>
              </w:rPr>
              <w:t>local labor law compliance per country you support</w:t>
            </w:r>
            <w:r>
              <w:t xml:space="preserve"> — this last one is a product/legal workstream as much as an engineering one</w:t>
            </w:r>
          </w:p>
        </w:tc>
      </w:tr>
      <w:tr w:rsidR="0088398C">
        <w:tc>
          <w:tcPr>
            <w:tcW w:w="0" w:type="auto"/>
          </w:tcPr>
          <w:p w:rsidR="0088398C" w:rsidRDefault="00097E4F">
            <w:pPr>
              <w:pStyle w:val="Compact"/>
            </w:pPr>
            <w:r>
              <w:t>Secrets</w:t>
            </w:r>
          </w:p>
        </w:tc>
        <w:tc>
          <w:tcPr>
            <w:tcW w:w="0" w:type="auto"/>
          </w:tcPr>
          <w:p w:rsidR="0088398C" w:rsidRDefault="00097E4F">
            <w:pPr>
              <w:pStyle w:val="Compact"/>
            </w:pPr>
            <w:r>
              <w:t>Centralized secrets manager (AWS Secrets Manager/Vault), never in</w:t>
            </w:r>
            <w:r>
              <w:t xml:space="preserve"> env files in source control</w:t>
            </w:r>
          </w:p>
        </w:tc>
      </w:tr>
      <w:tr w:rsidR="0088398C">
        <w:tc>
          <w:tcPr>
            <w:tcW w:w="0" w:type="auto"/>
          </w:tcPr>
          <w:p w:rsidR="0088398C" w:rsidRDefault="00097E4F">
            <w:pPr>
              <w:pStyle w:val="Compact"/>
            </w:pPr>
            <w:r>
              <w:t>Pen testing</w:t>
            </w:r>
          </w:p>
        </w:tc>
        <w:tc>
          <w:tcPr>
            <w:tcW w:w="0" w:type="auto"/>
          </w:tcPr>
          <w:p w:rsidR="0088398C" w:rsidRDefault="00097E4F">
            <w:pPr>
              <w:pStyle w:val="Compact"/>
            </w:pPr>
            <w:r>
              <w:t>Scheduled third-party penetration tests before any enterprise sale — expect customers to ask for the report</w:t>
            </w:r>
          </w:p>
        </w:tc>
      </w:tr>
    </w:tbl>
    <w:p w:rsidR="0088398C" w:rsidRDefault="00097E4F">
      <w:r>
        <w:pict>
          <v:rect id="_x0000_i1036" style="width:0;height:1.5pt" o:hralign="center" o:hrstd="t" o:hr="t"/>
        </w:pict>
      </w:r>
    </w:p>
    <w:p w:rsidR="0088398C" w:rsidRDefault="00097E4F">
      <w:pPr>
        <w:pStyle w:val="Heading2"/>
      </w:pPr>
      <w:bookmarkStart w:id="41" w:name="integration-ecosystem"/>
      <w:bookmarkStart w:id="42" w:name="_Toc240618570"/>
      <w:bookmarkEnd w:id="39"/>
      <w:r>
        <w:t>11. Integration Ecosystem</w:t>
      </w:r>
      <w:bookmarkEnd w:id="42"/>
    </w:p>
    <w:p w:rsidR="0088398C" w:rsidRDefault="00097E4F">
      <w:pPr>
        <w:pStyle w:val="Compact"/>
        <w:numPr>
          <w:ilvl w:val="0"/>
          <w:numId w:val="21"/>
        </w:numPr>
      </w:pPr>
      <w:r>
        <w:rPr>
          <w:b/>
          <w:bCs/>
        </w:rPr>
        <w:t>SSO/Identity:</w:t>
      </w:r>
      <w:r>
        <w:t xml:space="preserve"> Okta, Azure AD, Google Workspace</w:t>
      </w:r>
    </w:p>
    <w:p w:rsidR="0088398C" w:rsidRDefault="00097E4F">
      <w:pPr>
        <w:pStyle w:val="Compact"/>
        <w:numPr>
          <w:ilvl w:val="0"/>
          <w:numId w:val="21"/>
        </w:numPr>
      </w:pPr>
      <w:r>
        <w:rPr>
          <w:b/>
          <w:bCs/>
        </w:rPr>
        <w:t>Payroll/Tax compliance partners:</w:t>
      </w:r>
      <w:r>
        <w:t xml:space="preserve"> country-specific providers where you don’t build in-house</w:t>
      </w:r>
    </w:p>
    <w:p w:rsidR="0088398C" w:rsidRDefault="00097E4F">
      <w:pPr>
        <w:pStyle w:val="Compact"/>
        <w:numPr>
          <w:ilvl w:val="0"/>
          <w:numId w:val="21"/>
        </w:numPr>
      </w:pPr>
      <w:r>
        <w:rPr>
          <w:b/>
          <w:bCs/>
        </w:rPr>
        <w:lastRenderedPageBreak/>
        <w:t>Accounting:</w:t>
      </w:r>
      <w:r>
        <w:t xml:space="preserve"> QuickBooks, Xero, NetSuite (GL export)</w:t>
      </w:r>
    </w:p>
    <w:p w:rsidR="0088398C" w:rsidRDefault="00097E4F">
      <w:pPr>
        <w:pStyle w:val="Compact"/>
        <w:numPr>
          <w:ilvl w:val="0"/>
          <w:numId w:val="21"/>
        </w:numPr>
      </w:pPr>
      <w:r>
        <w:rPr>
          <w:b/>
          <w:bCs/>
        </w:rPr>
        <w:t>Communication:</w:t>
      </w:r>
      <w:r>
        <w:t xml:space="preserve"> Slack, Microsoft Teams (bot for the AI agent, leave requests, approvals)</w:t>
      </w:r>
    </w:p>
    <w:p w:rsidR="0088398C" w:rsidRDefault="00097E4F">
      <w:pPr>
        <w:pStyle w:val="Compact"/>
        <w:numPr>
          <w:ilvl w:val="0"/>
          <w:numId w:val="21"/>
        </w:numPr>
      </w:pPr>
      <w:r>
        <w:rPr>
          <w:b/>
          <w:bCs/>
        </w:rPr>
        <w:t>Calendar:</w:t>
      </w:r>
      <w:r>
        <w:t xml:space="preserve"> Google Calendar,</w:t>
      </w:r>
      <w:r>
        <w:t xml:space="preserve"> Outlook (leave, interviews)</w:t>
      </w:r>
    </w:p>
    <w:p w:rsidR="0088398C" w:rsidRDefault="00097E4F">
      <w:pPr>
        <w:pStyle w:val="Compact"/>
        <w:numPr>
          <w:ilvl w:val="0"/>
          <w:numId w:val="21"/>
        </w:numPr>
      </w:pPr>
      <w:r>
        <w:rPr>
          <w:b/>
          <w:bCs/>
        </w:rPr>
        <w:t>Job boards:</w:t>
      </w:r>
      <w:r>
        <w:t xml:space="preserve"> LinkedIn, Indeed (job posting syndication)</w:t>
      </w:r>
    </w:p>
    <w:p w:rsidR="0088398C" w:rsidRDefault="00097E4F">
      <w:pPr>
        <w:pStyle w:val="Compact"/>
        <w:numPr>
          <w:ilvl w:val="0"/>
          <w:numId w:val="21"/>
        </w:numPr>
      </w:pPr>
      <w:r>
        <w:rPr>
          <w:b/>
          <w:bCs/>
        </w:rPr>
        <w:t>Background check / e-signature:</w:t>
      </w:r>
      <w:r>
        <w:t xml:space="preserve"> Checkr-style providers, DocuSign/HelloSign</w:t>
      </w:r>
    </w:p>
    <w:p w:rsidR="0088398C" w:rsidRDefault="00097E4F">
      <w:pPr>
        <w:pStyle w:val="Compact"/>
        <w:numPr>
          <w:ilvl w:val="0"/>
          <w:numId w:val="21"/>
        </w:numPr>
      </w:pPr>
      <w:r>
        <w:rPr>
          <w:b/>
          <w:bCs/>
        </w:rPr>
        <w:t>Benefits carriers:</w:t>
      </w:r>
      <w:r>
        <w:t xml:space="preserve"> EDI 834 feeds or carrier partner APIs</w:t>
      </w:r>
    </w:p>
    <w:p w:rsidR="0088398C" w:rsidRDefault="00097E4F">
      <w:pPr>
        <w:pStyle w:val="FirstParagraph"/>
      </w:pPr>
      <w:r>
        <w:t xml:space="preserve">All integrations go through a dedicated </w:t>
      </w:r>
      <w:r>
        <w:rPr>
          <w:b/>
          <w:bCs/>
        </w:rPr>
        <w:t>Integration Hub</w:t>
      </w:r>
      <w:r>
        <w:t xml:space="preserve"> module so credentials, retry logic, and mapping config live in one place rather than scattered across feature modules.</w:t>
      </w:r>
    </w:p>
    <w:p w:rsidR="0088398C" w:rsidRDefault="00097E4F">
      <w:r>
        <w:pict>
          <v:rect id="_x0000_i1037" style="width:0;height:1.5pt" o:hralign="center" o:hrstd="t" o:hr="t"/>
        </w:pict>
      </w:r>
    </w:p>
    <w:p w:rsidR="0088398C" w:rsidRDefault="00097E4F">
      <w:pPr>
        <w:pStyle w:val="Heading2"/>
      </w:pPr>
      <w:bookmarkStart w:id="43" w:name="infrastructure-devops"/>
      <w:bookmarkStart w:id="44" w:name="_Toc240618571"/>
      <w:bookmarkEnd w:id="41"/>
      <w:r>
        <w:t>12. Infrastructure &amp; DevOps</w:t>
      </w:r>
      <w:bookmarkEnd w:id="44"/>
    </w:p>
    <w:p w:rsidR="0088398C" w:rsidRDefault="00097E4F">
      <w:pPr>
        <w:pStyle w:val="Compact"/>
        <w:numPr>
          <w:ilvl w:val="0"/>
          <w:numId w:val="22"/>
        </w:numPr>
      </w:pPr>
      <w:r>
        <w:rPr>
          <w:b/>
          <w:bCs/>
        </w:rPr>
        <w:t>Kubernetes</w:t>
      </w:r>
      <w:r>
        <w:t xml:space="preserve"> </w:t>
      </w:r>
      <w:r>
        <w:t>(EKS/GKE/AKS), one cluster per environment (dev/staging/prod), namespaced per major service.</w:t>
      </w:r>
    </w:p>
    <w:p w:rsidR="0088398C" w:rsidRDefault="00097E4F">
      <w:pPr>
        <w:pStyle w:val="Compact"/>
        <w:numPr>
          <w:ilvl w:val="0"/>
          <w:numId w:val="22"/>
        </w:numPr>
      </w:pPr>
      <w:r>
        <w:rPr>
          <w:b/>
          <w:bCs/>
        </w:rPr>
        <w:t>Terraform</w:t>
      </w:r>
      <w:r>
        <w:t xml:space="preserve"> for all infra as code — no manual console changes.</w:t>
      </w:r>
    </w:p>
    <w:p w:rsidR="0088398C" w:rsidRDefault="00097E4F">
      <w:pPr>
        <w:pStyle w:val="Compact"/>
        <w:numPr>
          <w:ilvl w:val="0"/>
          <w:numId w:val="22"/>
        </w:numPr>
      </w:pPr>
      <w:r>
        <w:rPr>
          <w:b/>
          <w:bCs/>
        </w:rPr>
        <w:t>CI/CD:</w:t>
      </w:r>
      <w:r>
        <w:t xml:space="preserve"> GitHub Actions builds &amp; tests → ArgoCD deploys via GitOps. Blue/green or canary deploys for the</w:t>
      </w:r>
      <w:r>
        <w:t xml:space="preserve"> core app given it’s shared across all tenants.</w:t>
      </w:r>
    </w:p>
    <w:p w:rsidR="0088398C" w:rsidRDefault="00097E4F">
      <w:pPr>
        <w:pStyle w:val="Compact"/>
        <w:numPr>
          <w:ilvl w:val="0"/>
          <w:numId w:val="22"/>
        </w:numPr>
      </w:pPr>
      <w:r>
        <w:rPr>
          <w:b/>
          <w:bCs/>
        </w:rPr>
        <w:t>Database migrations</w:t>
      </w:r>
      <w:r>
        <w:t xml:space="preserve"> via a tool like Prisma Migrate/Flyway, run automatically in the deploy pipeline, always backward-compatible with the previous release (expand/contract pattern) so rolling deploys never bre</w:t>
      </w:r>
      <w:r>
        <w:t>ak.</w:t>
      </w:r>
    </w:p>
    <w:p w:rsidR="0088398C" w:rsidRDefault="00097E4F">
      <w:pPr>
        <w:pStyle w:val="Compact"/>
        <w:numPr>
          <w:ilvl w:val="0"/>
          <w:numId w:val="22"/>
        </w:numPr>
      </w:pPr>
      <w:r>
        <w:rPr>
          <w:b/>
          <w:bCs/>
        </w:rPr>
        <w:t>Observability:</w:t>
      </w:r>
      <w:r>
        <w:t xml:space="preserve"> distributed tracing (OpenTelemetry) is non-negotiable in a modular monolith — you need to see a request’s path across module boundaries. Centralized logging (per-tenant filterable), metrics dashboards, and error tracking (Sentry).</w:t>
      </w:r>
    </w:p>
    <w:p w:rsidR="0088398C" w:rsidRDefault="00097E4F">
      <w:pPr>
        <w:pStyle w:val="Compact"/>
        <w:numPr>
          <w:ilvl w:val="0"/>
          <w:numId w:val="22"/>
        </w:numPr>
      </w:pPr>
      <w:r>
        <w:rPr>
          <w:b/>
          <w:bCs/>
        </w:rPr>
        <w:t>Backup</w:t>
      </w:r>
      <w:r>
        <w:rPr>
          <w:b/>
          <w:bCs/>
        </w:rPr>
        <w:t>s:</w:t>
      </w:r>
      <w:r>
        <w:t xml:space="preserve"> automated daily Postgres snapshots + point-in-time recovery; tested restore drills quarterly.</w:t>
      </w:r>
    </w:p>
    <w:p w:rsidR="0088398C" w:rsidRDefault="00097E4F">
      <w:pPr>
        <w:pStyle w:val="Compact"/>
        <w:numPr>
          <w:ilvl w:val="0"/>
          <w:numId w:val="22"/>
        </w:numPr>
      </w:pPr>
      <w:r>
        <w:rPr>
          <w:b/>
          <w:bCs/>
        </w:rPr>
        <w:t>DR:</w:t>
      </w:r>
      <w:r>
        <w:t xml:space="preserve"> documented RTO/RPO targets; at minimum multi-AZ, ideally multi-region for the enterprise tier.</w:t>
      </w:r>
    </w:p>
    <w:p w:rsidR="0088398C" w:rsidRDefault="00097E4F">
      <w:r>
        <w:pict>
          <v:rect id="_x0000_i1038" style="width:0;height:1.5pt" o:hralign="center" o:hrstd="t" o:hr="t"/>
        </w:pict>
      </w:r>
    </w:p>
    <w:p w:rsidR="0088398C" w:rsidRDefault="00097E4F">
      <w:pPr>
        <w:pStyle w:val="Heading2"/>
      </w:pPr>
      <w:bookmarkStart w:id="45" w:name="saas-business-layer"/>
      <w:bookmarkStart w:id="46" w:name="_Toc240618572"/>
      <w:bookmarkEnd w:id="43"/>
      <w:r>
        <w:t>13. SaaS Business Layer</w:t>
      </w:r>
      <w:bookmarkEnd w:id="46"/>
    </w:p>
    <w:tbl>
      <w:tblPr>
        <w:tblStyle w:val="Table"/>
        <w:tblW w:w="5000" w:type="pct"/>
        <w:tblLook w:val="0020" w:firstRow="1" w:lastRow="0" w:firstColumn="0" w:lastColumn="0" w:noHBand="0" w:noVBand="0"/>
      </w:tblPr>
      <w:tblGrid>
        <w:gridCol w:w="2054"/>
        <w:gridCol w:w="7522"/>
      </w:tblGrid>
      <w:tr w:rsidR="0088398C" w:rsidTr="0088398C">
        <w:trPr>
          <w:cnfStyle w:val="100000000000" w:firstRow="1" w:lastRow="0" w:firstColumn="0" w:lastColumn="0" w:oddVBand="0" w:evenVBand="0" w:oddHBand="0" w:evenHBand="0" w:firstRowFirstColumn="0" w:firstRowLastColumn="0" w:lastRowFirstColumn="0" w:lastRowLastColumn="0"/>
          <w:tblHeader/>
        </w:trPr>
        <w:tc>
          <w:tcPr>
            <w:tcW w:w="0" w:type="auto"/>
          </w:tcPr>
          <w:p w:rsidR="0088398C" w:rsidRDefault="00097E4F">
            <w:pPr>
              <w:pStyle w:val="Compact"/>
            </w:pPr>
            <w:r>
              <w:t>Component</w:t>
            </w:r>
          </w:p>
        </w:tc>
        <w:tc>
          <w:tcPr>
            <w:tcW w:w="0" w:type="auto"/>
          </w:tcPr>
          <w:p w:rsidR="0088398C" w:rsidRDefault="00097E4F">
            <w:pPr>
              <w:pStyle w:val="Compact"/>
            </w:pPr>
            <w:r>
              <w:t>Notes</w:t>
            </w:r>
          </w:p>
        </w:tc>
      </w:tr>
      <w:tr w:rsidR="0088398C">
        <w:tc>
          <w:tcPr>
            <w:tcW w:w="0" w:type="auto"/>
          </w:tcPr>
          <w:p w:rsidR="0088398C" w:rsidRDefault="00097E4F">
            <w:pPr>
              <w:pStyle w:val="Compact"/>
            </w:pPr>
            <w:r>
              <w:t>Tenant provisioni</w:t>
            </w:r>
            <w:r>
              <w:t>ng</w:t>
            </w:r>
          </w:p>
        </w:tc>
        <w:tc>
          <w:tcPr>
            <w:tcW w:w="0" w:type="auto"/>
          </w:tcPr>
          <w:p w:rsidR="0088398C" w:rsidRDefault="00097E4F">
            <w:pPr>
              <w:pStyle w:val="Compact"/>
            </w:pPr>
            <w:r>
              <w:t>Self-service signup → automated tenant creation (DB row + default config + seed data) in seconds, not a manual ops task</w:t>
            </w:r>
          </w:p>
        </w:tc>
      </w:tr>
      <w:tr w:rsidR="0088398C">
        <w:tc>
          <w:tcPr>
            <w:tcW w:w="0" w:type="auto"/>
          </w:tcPr>
          <w:p w:rsidR="0088398C" w:rsidRDefault="00097E4F">
            <w:pPr>
              <w:pStyle w:val="Compact"/>
            </w:pPr>
            <w:r>
              <w:t>Plans &amp; pricing</w:t>
            </w:r>
          </w:p>
        </w:tc>
        <w:tc>
          <w:tcPr>
            <w:tcW w:w="0" w:type="auto"/>
          </w:tcPr>
          <w:p w:rsidR="0088398C" w:rsidRDefault="00097E4F">
            <w:pPr>
              <w:pStyle w:val="Compact"/>
            </w:pPr>
            <w:r>
              <w:t>Tiered by employee count + feature gates (e.g. “Performance Management” and “AI Agent” as add-ons on top of a Core H</w:t>
            </w:r>
            <w:r>
              <w:t>R base)</w:t>
            </w:r>
          </w:p>
        </w:tc>
      </w:tr>
      <w:tr w:rsidR="0088398C">
        <w:tc>
          <w:tcPr>
            <w:tcW w:w="0" w:type="auto"/>
          </w:tcPr>
          <w:p w:rsidR="0088398C" w:rsidRDefault="00097E4F">
            <w:pPr>
              <w:pStyle w:val="Compact"/>
            </w:pPr>
            <w:r>
              <w:t>Metering</w:t>
            </w:r>
          </w:p>
        </w:tc>
        <w:tc>
          <w:tcPr>
            <w:tcW w:w="0" w:type="auto"/>
          </w:tcPr>
          <w:p w:rsidR="0088398C" w:rsidRDefault="00097E4F">
            <w:pPr>
              <w:pStyle w:val="Compact"/>
            </w:pPr>
            <w:r>
              <w:t>Usage events (active employees, AI agent calls, storage) recorded to a billing service; reconciled monthly</w:t>
            </w:r>
          </w:p>
        </w:tc>
      </w:tr>
      <w:tr w:rsidR="0088398C">
        <w:tc>
          <w:tcPr>
            <w:tcW w:w="0" w:type="auto"/>
          </w:tcPr>
          <w:p w:rsidR="0088398C" w:rsidRDefault="00097E4F">
            <w:pPr>
              <w:pStyle w:val="Compact"/>
            </w:pPr>
            <w:r>
              <w:t>Billing</w:t>
            </w:r>
          </w:p>
        </w:tc>
        <w:tc>
          <w:tcPr>
            <w:tcW w:w="0" w:type="auto"/>
          </w:tcPr>
          <w:p w:rsidR="0088398C" w:rsidRDefault="00097E4F">
            <w:pPr>
              <w:pStyle w:val="Compact"/>
            </w:pPr>
            <w:r>
              <w:t>Stripe Billing (subscriptions, usage-based line items, invoicing, dunning)</w:t>
            </w:r>
          </w:p>
        </w:tc>
      </w:tr>
      <w:tr w:rsidR="0088398C">
        <w:tc>
          <w:tcPr>
            <w:tcW w:w="0" w:type="auto"/>
          </w:tcPr>
          <w:p w:rsidR="0088398C" w:rsidRDefault="00097E4F">
            <w:pPr>
              <w:pStyle w:val="Compact"/>
            </w:pPr>
            <w:r>
              <w:t>Feature flags</w:t>
            </w:r>
          </w:p>
        </w:tc>
        <w:tc>
          <w:tcPr>
            <w:tcW w:w="0" w:type="auto"/>
          </w:tcPr>
          <w:p w:rsidR="0088398C" w:rsidRDefault="00097E4F">
            <w:pPr>
              <w:pStyle w:val="Compact"/>
            </w:pPr>
            <w:r>
              <w:t>Per-tenant, per-plan flags (LaunchDarkly or homegrown) so upsell/entitlement changes don’t require a deploy</w:t>
            </w:r>
          </w:p>
        </w:tc>
      </w:tr>
      <w:tr w:rsidR="0088398C">
        <w:tc>
          <w:tcPr>
            <w:tcW w:w="0" w:type="auto"/>
          </w:tcPr>
          <w:p w:rsidR="0088398C" w:rsidRDefault="00097E4F">
            <w:pPr>
              <w:pStyle w:val="Compact"/>
            </w:pPr>
            <w:r>
              <w:lastRenderedPageBreak/>
              <w:t>Trial/freemium</w:t>
            </w:r>
          </w:p>
        </w:tc>
        <w:tc>
          <w:tcPr>
            <w:tcW w:w="0" w:type="auto"/>
          </w:tcPr>
          <w:p w:rsidR="0088398C" w:rsidRDefault="00097E4F">
            <w:pPr>
              <w:pStyle w:val="Compact"/>
            </w:pPr>
            <w:r>
              <w:t>Time-boxed or employee-count-boxed free tier, converted via in-app upgrade prompts</w:t>
            </w:r>
          </w:p>
        </w:tc>
      </w:tr>
      <w:tr w:rsidR="0088398C">
        <w:tc>
          <w:tcPr>
            <w:tcW w:w="0" w:type="auto"/>
          </w:tcPr>
          <w:p w:rsidR="0088398C" w:rsidRDefault="00097E4F">
            <w:pPr>
              <w:pStyle w:val="Compact"/>
            </w:pPr>
            <w:r>
              <w:t>Admin/ops console</w:t>
            </w:r>
          </w:p>
        </w:tc>
        <w:tc>
          <w:tcPr>
            <w:tcW w:w="0" w:type="auto"/>
          </w:tcPr>
          <w:p w:rsidR="0088398C" w:rsidRDefault="00097E4F">
            <w:pPr>
              <w:pStyle w:val="Compact"/>
            </w:pPr>
            <w:r>
              <w:t>Internal tool for support to view tenant health, impersonate (with consent+audit), manage entitlements</w:t>
            </w:r>
          </w:p>
        </w:tc>
      </w:tr>
    </w:tbl>
    <w:p w:rsidR="0088398C" w:rsidRDefault="00097E4F">
      <w:r>
        <w:pict>
          <v:rect id="_x0000_i1039" style="width:0;height:1.5pt" o:hralign="center" o:hrstd="t" o:hr="t"/>
        </w:pict>
      </w:r>
    </w:p>
    <w:p w:rsidR="0088398C" w:rsidRDefault="00097E4F">
      <w:pPr>
        <w:pStyle w:val="Heading2"/>
      </w:pPr>
      <w:bookmarkStart w:id="47" w:name="scalability-reliability"/>
      <w:bookmarkStart w:id="48" w:name="_Toc240618573"/>
      <w:bookmarkEnd w:id="45"/>
      <w:r>
        <w:t>14. Scalability &amp; Reliability</w:t>
      </w:r>
      <w:bookmarkEnd w:id="48"/>
    </w:p>
    <w:p w:rsidR="0088398C" w:rsidRDefault="00097E4F">
      <w:pPr>
        <w:pStyle w:val="Compact"/>
        <w:numPr>
          <w:ilvl w:val="0"/>
          <w:numId w:val="23"/>
        </w:numPr>
      </w:pPr>
      <w:r>
        <w:rPr>
          <w:b/>
          <w:bCs/>
        </w:rPr>
        <w:t>Read replicas</w:t>
      </w:r>
      <w:r>
        <w:t xml:space="preserve"> for Postgres once reporting/analytics load grows, offloading heavy queries away from OLTP.</w:t>
      </w:r>
    </w:p>
    <w:p w:rsidR="0088398C" w:rsidRDefault="00097E4F">
      <w:pPr>
        <w:pStyle w:val="Compact"/>
        <w:numPr>
          <w:ilvl w:val="0"/>
          <w:numId w:val="23"/>
        </w:numPr>
      </w:pPr>
      <w:r>
        <w:rPr>
          <w:b/>
          <w:bCs/>
        </w:rPr>
        <w:t>Redis caching</w:t>
      </w:r>
      <w:r>
        <w:t xml:space="preserve"> f</w:t>
      </w:r>
      <w:r>
        <w:t>or hot, low-change data (org chart, permission sets, leave balances) with tenant-scoped cache keys and short TTLs.</w:t>
      </w:r>
    </w:p>
    <w:p w:rsidR="0088398C" w:rsidRDefault="00097E4F">
      <w:pPr>
        <w:pStyle w:val="Compact"/>
        <w:numPr>
          <w:ilvl w:val="0"/>
          <w:numId w:val="23"/>
        </w:numPr>
      </w:pPr>
      <w:r>
        <w:rPr>
          <w:b/>
          <w:bCs/>
        </w:rPr>
        <w:t>Async everything that can be:</w:t>
      </w:r>
      <w:r>
        <w:t xml:space="preserve"> payroll runs, report generation, bulk imports, notification sending — all queued jobs, not synchronous request-</w:t>
      </w:r>
      <w:r>
        <w:t>path work.</w:t>
      </w:r>
    </w:p>
    <w:p w:rsidR="0088398C" w:rsidRDefault="00097E4F">
      <w:pPr>
        <w:pStyle w:val="Compact"/>
        <w:numPr>
          <w:ilvl w:val="0"/>
          <w:numId w:val="23"/>
        </w:numPr>
      </w:pPr>
      <w:r>
        <w:rPr>
          <w:b/>
          <w:bCs/>
        </w:rPr>
        <w:t>Horizontal pod autoscaling</w:t>
      </w:r>
      <w:r>
        <w:t xml:space="preserve"> on the core app and the AI Agent Service independently (LLM calls have very different latency/cost profiles than CRUD requests).</w:t>
      </w:r>
    </w:p>
    <w:p w:rsidR="0088398C" w:rsidRDefault="00097E4F">
      <w:pPr>
        <w:pStyle w:val="Compact"/>
        <w:numPr>
          <w:ilvl w:val="0"/>
          <w:numId w:val="23"/>
        </w:numPr>
      </w:pPr>
      <w:r>
        <w:rPr>
          <w:b/>
          <w:bCs/>
        </w:rPr>
        <w:t>Circuit breakers</w:t>
      </w:r>
      <w:r>
        <w:t xml:space="preserve"> around every third-party integration (payroll partners, e-signature, job</w:t>
      </w:r>
      <w:r>
        <w:t xml:space="preserve"> boards) so one vendor outage doesn’t cascade.</w:t>
      </w:r>
    </w:p>
    <w:p w:rsidR="0088398C" w:rsidRDefault="00097E4F">
      <w:pPr>
        <w:pStyle w:val="Compact"/>
        <w:numPr>
          <w:ilvl w:val="0"/>
          <w:numId w:val="23"/>
        </w:numPr>
      </w:pPr>
      <w:r>
        <w:rPr>
          <w:b/>
          <w:bCs/>
        </w:rPr>
        <w:t>Multi-tenant noisy-neighbor protection:</w:t>
      </w:r>
      <w:r>
        <w:t xml:space="preserve"> per-tenant rate limits and query timeouts so one large tenant’s bulk import can’t degrade the platform for everyone else.</w:t>
      </w:r>
    </w:p>
    <w:p w:rsidR="0088398C" w:rsidRDefault="00097E4F">
      <w:r>
        <w:pict>
          <v:rect id="_x0000_i1040" style="width:0;height:1.5pt" o:hralign="center" o:hrstd="t" o:hr="t"/>
        </w:pict>
      </w:r>
    </w:p>
    <w:p w:rsidR="0088398C" w:rsidRDefault="00097E4F">
      <w:pPr>
        <w:pStyle w:val="Heading2"/>
      </w:pPr>
      <w:bookmarkStart w:id="49" w:name="X725789ebeae7329ad79156f2f5c08732e583735"/>
      <w:bookmarkStart w:id="50" w:name="_Toc240618574"/>
      <w:bookmarkEnd w:id="47"/>
      <w:r>
        <w:t>15. Suggested Repository Structure (for an AI</w:t>
      </w:r>
      <w:r>
        <w:t xml:space="preserve"> coding agent to scaffold)</w:t>
      </w:r>
      <w:bookmarkEnd w:id="50"/>
    </w:p>
    <w:p w:rsidR="0088398C" w:rsidRDefault="00097E4F">
      <w:pPr>
        <w:pStyle w:val="SourceCode"/>
      </w:pPr>
      <w:r>
        <w:rPr>
          <w:rStyle w:val="VerbatimChar"/>
        </w:rPr>
        <w:t>hrms-platform/</w:t>
      </w:r>
      <w:r>
        <w:br/>
      </w:r>
      <w:r>
        <w:rPr>
          <w:rStyle w:val="VerbatimChar"/>
        </w:rPr>
        <w:t>├── apps/</w:t>
      </w:r>
      <w:r>
        <w:br/>
      </w:r>
      <w:r>
        <w:rPr>
          <w:rStyle w:val="VerbatimChar"/>
        </w:rPr>
        <w:t>│   ├── web/                 # Next.js frontend</w:t>
      </w:r>
      <w:r>
        <w:br/>
      </w:r>
      <w:r>
        <w:rPr>
          <w:rStyle w:val="VerbatimChar"/>
        </w:rPr>
        <w:t>│   ├── mobile/               # React Native</w:t>
      </w:r>
      <w:r>
        <w:br/>
      </w:r>
      <w:r>
        <w:rPr>
          <w:rStyle w:val="VerbatimChar"/>
        </w:rPr>
        <w:t>│   └── admin-console/         # Internal platform admin app</w:t>
      </w:r>
      <w:r>
        <w:br/>
      </w:r>
      <w:r>
        <w:rPr>
          <w:rStyle w:val="VerbatimChar"/>
        </w:rPr>
        <w:t>├── services/</w:t>
      </w:r>
      <w:r>
        <w:br/>
      </w:r>
      <w:r>
        <w:rPr>
          <w:rStyle w:val="VerbatimChar"/>
        </w:rPr>
        <w:t>│   ├── api-gateway/</w:t>
      </w:r>
      <w:r>
        <w:br/>
      </w:r>
      <w:r>
        <w:rPr>
          <w:rStyle w:val="VerbatimChar"/>
        </w:rPr>
        <w:t>│   ├── core/                 # modular monolith: auth, core-hr, ats, onboarding,</w:t>
      </w:r>
      <w:r>
        <w:br/>
      </w:r>
      <w:r>
        <w:rPr>
          <w:rStyle w:val="VerbatimChar"/>
        </w:rPr>
        <w:t>│   │   ├── src/modules/       #   attendance, leave, performance, benefits, lms, docs</w:t>
      </w:r>
      <w:r>
        <w:br/>
      </w:r>
      <w:r>
        <w:rPr>
          <w:rStyle w:val="VerbatimChar"/>
        </w:rPr>
        <w:t>│   │   │   ├── auth/</w:t>
      </w:r>
      <w:r>
        <w:br/>
      </w:r>
      <w:r>
        <w:rPr>
          <w:rStyle w:val="VerbatimChar"/>
        </w:rPr>
        <w:t>│   │   │   ├── core-hr/</w:t>
      </w:r>
      <w:r>
        <w:br/>
      </w:r>
      <w:r>
        <w:rPr>
          <w:rStyle w:val="VerbatimChar"/>
        </w:rPr>
        <w:t>│   │   │   ├── ats/</w:t>
      </w:r>
      <w:r>
        <w:br/>
      </w:r>
      <w:r>
        <w:rPr>
          <w:rStyle w:val="VerbatimChar"/>
        </w:rPr>
        <w:t>│   │   │   ├── onb</w:t>
      </w:r>
      <w:r>
        <w:rPr>
          <w:rStyle w:val="VerbatimChar"/>
        </w:rPr>
        <w:t>oarding/</w:t>
      </w:r>
      <w:r>
        <w:br/>
      </w:r>
      <w:r>
        <w:rPr>
          <w:rStyle w:val="VerbatimChar"/>
        </w:rPr>
        <w:t>│   │   │   ├── attendance/</w:t>
      </w:r>
      <w:r>
        <w:br/>
      </w:r>
      <w:r>
        <w:rPr>
          <w:rStyle w:val="VerbatimChar"/>
        </w:rPr>
        <w:t>│   │   │   ├── leave/</w:t>
      </w:r>
      <w:r>
        <w:br/>
      </w:r>
      <w:r>
        <w:rPr>
          <w:rStyle w:val="VerbatimChar"/>
        </w:rPr>
        <w:t>│   │   │   ├── performance/</w:t>
      </w:r>
      <w:r>
        <w:br/>
      </w:r>
      <w:r>
        <w:rPr>
          <w:rStyle w:val="VerbatimChar"/>
        </w:rPr>
        <w:t>│   │   │   ├── benefits/</w:t>
      </w:r>
      <w:r>
        <w:br/>
      </w:r>
      <w:r>
        <w:rPr>
          <w:rStyle w:val="VerbatimChar"/>
        </w:rPr>
        <w:t>│   │   │   ├── lms/</w:t>
      </w:r>
      <w:r>
        <w:br/>
      </w:r>
      <w:r>
        <w:rPr>
          <w:rStyle w:val="VerbatimChar"/>
        </w:rPr>
        <w:t>│   │   │   └── documents/</w:t>
      </w:r>
      <w:r>
        <w:br/>
      </w:r>
      <w:r>
        <w:rPr>
          <w:rStyle w:val="VerbatimChar"/>
        </w:rPr>
        <w:lastRenderedPageBreak/>
        <w:t>│   │   └── ...</w:t>
      </w:r>
      <w:r>
        <w:br/>
      </w:r>
      <w:r>
        <w:rPr>
          <w:rStyle w:val="VerbatimChar"/>
        </w:rPr>
        <w:t>│   ├── payroll-service/</w:t>
      </w:r>
      <w:r>
        <w:br/>
      </w:r>
      <w:r>
        <w:rPr>
          <w:rStyle w:val="VerbatimChar"/>
        </w:rPr>
        <w:t>│   ├── notification-service/</w:t>
      </w:r>
      <w:r>
        <w:br/>
      </w:r>
      <w:r>
        <w:rPr>
          <w:rStyle w:val="VerbatimChar"/>
        </w:rPr>
        <w:t>│   ├── ai-agent-servi</w:t>
      </w:r>
      <w:r>
        <w:rPr>
          <w:rStyle w:val="VerbatimChar"/>
        </w:rPr>
        <w:t>ce/</w:t>
      </w:r>
      <w:r>
        <w:br/>
      </w:r>
      <w:r>
        <w:rPr>
          <w:rStyle w:val="VerbatimChar"/>
        </w:rPr>
        <w:t>│   │   ├── tools/            # narrow, permission-scoped tool definitions</w:t>
      </w:r>
      <w:r>
        <w:br/>
      </w:r>
      <w:r>
        <w:rPr>
          <w:rStyle w:val="VerbatimChar"/>
        </w:rPr>
        <w:t>│   │   ├── rag/               # policy doc ingestion + retrieval</w:t>
      </w:r>
      <w:r>
        <w:br/>
      </w:r>
      <w:r>
        <w:rPr>
          <w:rStyle w:val="VerbatimChar"/>
        </w:rPr>
        <w:t>│   │   └── audit/</w:t>
      </w:r>
      <w:r>
        <w:br/>
      </w:r>
      <w:r>
        <w:rPr>
          <w:rStyle w:val="VerbatimChar"/>
        </w:rPr>
        <w:t>│   ├── billing-service/</w:t>
      </w:r>
      <w:r>
        <w:br/>
      </w:r>
      <w:r>
        <w:rPr>
          <w:rStyle w:val="VerbatimChar"/>
        </w:rPr>
        <w:t>│   └── reporting-service/</w:t>
      </w:r>
      <w:r>
        <w:br/>
      </w:r>
      <w:r>
        <w:rPr>
          <w:rStyle w:val="VerbatimChar"/>
        </w:rPr>
        <w:t>├── libs/</w:t>
      </w:r>
      <w:r>
        <w:br/>
      </w:r>
      <w:r>
        <w:rPr>
          <w:rStyle w:val="VerbatimChar"/>
        </w:rPr>
        <w:t xml:space="preserve">│   ├── shared-types/         </w:t>
      </w:r>
      <w:r>
        <w:rPr>
          <w:rStyle w:val="VerbatimChar"/>
        </w:rPr>
        <w:t xml:space="preserve"> # OpenAPI-generated types</w:t>
      </w:r>
      <w:r>
        <w:br/>
      </w:r>
      <w:r>
        <w:rPr>
          <w:rStyle w:val="VerbatimChar"/>
        </w:rPr>
        <w:t>│   ├── event-schemas/         # domain event contracts</w:t>
      </w:r>
      <w:r>
        <w:br/>
      </w:r>
      <w:r>
        <w:rPr>
          <w:rStyle w:val="VerbatimChar"/>
        </w:rPr>
        <w:t>│   └── rbac/                  # shared permission model</w:t>
      </w:r>
      <w:r>
        <w:br/>
      </w:r>
      <w:r>
        <w:rPr>
          <w:rStyle w:val="VerbatimChar"/>
        </w:rPr>
        <w:t>├── infra/</w:t>
      </w:r>
      <w:r>
        <w:br/>
      </w:r>
      <w:r>
        <w:rPr>
          <w:rStyle w:val="VerbatimChar"/>
        </w:rPr>
        <w:t>│   ├── terraform/</w:t>
      </w:r>
      <w:r>
        <w:br/>
      </w:r>
      <w:r>
        <w:rPr>
          <w:rStyle w:val="VerbatimChar"/>
        </w:rPr>
        <w:t>│   └── k8s/</w:t>
      </w:r>
      <w:r>
        <w:br/>
      </w:r>
      <w:r>
        <w:rPr>
          <w:rStyle w:val="VerbatimChar"/>
        </w:rPr>
        <w:t>└── docs/</w:t>
      </w:r>
      <w:r>
        <w:br/>
      </w:r>
      <w:r>
        <w:rPr>
          <w:rStyle w:val="VerbatimChar"/>
        </w:rPr>
        <w:t xml:space="preserve">    ├── api/                   # OpenAPI specs</w:t>
      </w:r>
      <w:r>
        <w:br/>
      </w:r>
      <w:r>
        <w:rPr>
          <w:rStyle w:val="VerbatimChar"/>
        </w:rPr>
        <w:t xml:space="preserve">    └── architecture/          # this document + ADRs</w:t>
      </w:r>
    </w:p>
    <w:p w:rsidR="0088398C" w:rsidRDefault="00097E4F">
      <w:r>
        <w:pict>
          <v:rect id="_x0000_i1041" style="width:0;height:1.5pt" o:hralign="center" o:hrstd="t" o:hr="t"/>
        </w:pict>
      </w:r>
    </w:p>
    <w:p w:rsidR="0088398C" w:rsidRDefault="00097E4F">
      <w:pPr>
        <w:pStyle w:val="Heading2"/>
      </w:pPr>
      <w:bookmarkStart w:id="51" w:name="phased-delivery-roadmap"/>
      <w:bookmarkStart w:id="52" w:name="_Toc240618575"/>
      <w:bookmarkEnd w:id="49"/>
      <w:r>
        <w:t>16. Phased Delivery Roadmap</w:t>
      </w:r>
      <w:bookmarkEnd w:id="52"/>
    </w:p>
    <w:tbl>
      <w:tblPr>
        <w:tblStyle w:val="Table"/>
        <w:tblW w:w="5000" w:type="pct"/>
        <w:tblLook w:val="0020" w:firstRow="1" w:lastRow="0" w:firstColumn="0" w:lastColumn="0" w:noHBand="0" w:noVBand="0"/>
      </w:tblPr>
      <w:tblGrid>
        <w:gridCol w:w="1617"/>
        <w:gridCol w:w="4913"/>
        <w:gridCol w:w="3046"/>
      </w:tblGrid>
      <w:tr w:rsidR="0088398C" w:rsidTr="0088398C">
        <w:trPr>
          <w:cnfStyle w:val="100000000000" w:firstRow="1" w:lastRow="0" w:firstColumn="0" w:lastColumn="0" w:oddVBand="0" w:evenVBand="0" w:oddHBand="0" w:evenHBand="0" w:firstRowFirstColumn="0" w:firstRowLastColumn="0" w:lastRowFirstColumn="0" w:lastRowLastColumn="0"/>
          <w:tblHeader/>
        </w:trPr>
        <w:tc>
          <w:tcPr>
            <w:tcW w:w="0" w:type="auto"/>
          </w:tcPr>
          <w:p w:rsidR="0088398C" w:rsidRDefault="00097E4F">
            <w:pPr>
              <w:pStyle w:val="Compact"/>
            </w:pPr>
            <w:r>
              <w:t>Phase</w:t>
            </w:r>
          </w:p>
        </w:tc>
        <w:tc>
          <w:tcPr>
            <w:tcW w:w="0" w:type="auto"/>
          </w:tcPr>
          <w:p w:rsidR="0088398C" w:rsidRDefault="00097E4F">
            <w:pPr>
              <w:pStyle w:val="Compact"/>
            </w:pPr>
            <w:r>
              <w:t>Scope</w:t>
            </w:r>
          </w:p>
        </w:tc>
        <w:tc>
          <w:tcPr>
            <w:tcW w:w="0" w:type="auto"/>
          </w:tcPr>
          <w:p w:rsidR="0088398C" w:rsidRDefault="00097E4F">
            <w:pPr>
              <w:pStyle w:val="Compact"/>
            </w:pPr>
            <w:r>
              <w:t>Goal</w:t>
            </w:r>
          </w:p>
        </w:tc>
      </w:tr>
      <w:tr w:rsidR="0088398C">
        <w:tc>
          <w:tcPr>
            <w:tcW w:w="0" w:type="auto"/>
          </w:tcPr>
          <w:p w:rsidR="0088398C" w:rsidRDefault="00097E4F">
            <w:pPr>
              <w:pStyle w:val="Compact"/>
            </w:pPr>
            <w:r>
              <w:rPr>
                <w:b/>
                <w:bCs/>
              </w:rPr>
              <w:t>0 — Foundation</w:t>
            </w:r>
          </w:p>
        </w:tc>
        <w:tc>
          <w:tcPr>
            <w:tcW w:w="0" w:type="auto"/>
          </w:tcPr>
          <w:p w:rsidR="0088398C" w:rsidRDefault="00097E4F">
            <w:pPr>
              <w:pStyle w:val="Compact"/>
            </w:pPr>
            <w:r>
              <w:t>Multi-tenancy, auth/IAM, core HR employee records, RLS, CI/CD, basic admin console</w:t>
            </w:r>
          </w:p>
        </w:tc>
        <w:tc>
          <w:tcPr>
            <w:tcW w:w="0" w:type="auto"/>
          </w:tcPr>
          <w:p w:rsidR="0088398C" w:rsidRDefault="00097E4F">
            <w:pPr>
              <w:pStyle w:val="Compact"/>
            </w:pPr>
            <w:r>
              <w:t>Prove the tenancy + security model before building featu</w:t>
            </w:r>
            <w:r>
              <w:t>res on top</w:t>
            </w:r>
          </w:p>
        </w:tc>
      </w:tr>
      <w:tr w:rsidR="0088398C">
        <w:tc>
          <w:tcPr>
            <w:tcW w:w="0" w:type="auto"/>
          </w:tcPr>
          <w:p w:rsidR="0088398C" w:rsidRDefault="00097E4F">
            <w:pPr>
              <w:pStyle w:val="Compact"/>
            </w:pPr>
            <w:r>
              <w:rPr>
                <w:b/>
                <w:bCs/>
              </w:rPr>
              <w:t>1 — MVP</w:t>
            </w:r>
          </w:p>
        </w:tc>
        <w:tc>
          <w:tcPr>
            <w:tcW w:w="0" w:type="auto"/>
          </w:tcPr>
          <w:p w:rsidR="0088398C" w:rsidRDefault="00097E4F">
            <w:pPr>
              <w:pStyle w:val="Compact"/>
            </w:pPr>
            <w:r>
              <w:t>Core HR, Leave, Attendance, ESS/MSS, basic reporting</w:t>
            </w:r>
          </w:p>
        </w:tc>
        <w:tc>
          <w:tcPr>
            <w:tcW w:w="0" w:type="auto"/>
          </w:tcPr>
          <w:p w:rsidR="0088398C" w:rsidRDefault="00097E4F">
            <w:pPr>
              <w:pStyle w:val="Compact"/>
            </w:pPr>
            <w:r>
              <w:t>Sellable product for a single-country SMB customer</w:t>
            </w:r>
          </w:p>
        </w:tc>
      </w:tr>
      <w:tr w:rsidR="0088398C">
        <w:tc>
          <w:tcPr>
            <w:tcW w:w="0" w:type="auto"/>
          </w:tcPr>
          <w:p w:rsidR="0088398C" w:rsidRDefault="00097E4F">
            <w:pPr>
              <w:pStyle w:val="Compact"/>
            </w:pPr>
            <w:r>
              <w:rPr>
                <w:b/>
                <w:bCs/>
              </w:rPr>
              <w:t>2 — Grow</w:t>
            </w:r>
          </w:p>
        </w:tc>
        <w:tc>
          <w:tcPr>
            <w:tcW w:w="0" w:type="auto"/>
          </w:tcPr>
          <w:p w:rsidR="0088398C" w:rsidRDefault="00097E4F">
            <w:pPr>
              <w:pStyle w:val="Compact"/>
            </w:pPr>
            <w:r>
              <w:t>ATS/Recruitment, Onboarding/Offboarding, Notifications, Billing/metering, self-service signup</w:t>
            </w:r>
          </w:p>
        </w:tc>
        <w:tc>
          <w:tcPr>
            <w:tcW w:w="0" w:type="auto"/>
          </w:tcPr>
          <w:p w:rsidR="0088398C" w:rsidRDefault="00097E4F">
            <w:pPr>
              <w:pStyle w:val="Compact"/>
            </w:pPr>
            <w:r>
              <w:t xml:space="preserve">Turn it into an actual SaaS </w:t>
            </w:r>
            <w:r>
              <w:t>funnel</w:t>
            </w:r>
          </w:p>
        </w:tc>
      </w:tr>
      <w:tr w:rsidR="0088398C">
        <w:tc>
          <w:tcPr>
            <w:tcW w:w="0" w:type="auto"/>
          </w:tcPr>
          <w:p w:rsidR="0088398C" w:rsidRDefault="00097E4F">
            <w:pPr>
              <w:pStyle w:val="Compact"/>
            </w:pPr>
            <w:r>
              <w:rPr>
                <w:b/>
                <w:bCs/>
              </w:rPr>
              <w:t>3 — AI Layer</w:t>
            </w:r>
          </w:p>
        </w:tc>
        <w:tc>
          <w:tcPr>
            <w:tcW w:w="0" w:type="auto"/>
          </w:tcPr>
          <w:p w:rsidR="0088398C" w:rsidRDefault="00097E4F">
            <w:pPr>
              <w:pStyle w:val="Compact"/>
            </w:pPr>
            <w:r>
              <w:t>AI Agent Service, resume parsing, HR chatbot with RAG, audit trail for agent actions</w:t>
            </w:r>
          </w:p>
        </w:tc>
        <w:tc>
          <w:tcPr>
            <w:tcW w:w="0" w:type="auto"/>
          </w:tcPr>
          <w:p w:rsidR="0088398C" w:rsidRDefault="00097E4F">
            <w:pPr>
              <w:pStyle w:val="Compact"/>
            </w:pPr>
            <w:r>
              <w:t>Differentiator layer</w:t>
            </w:r>
          </w:p>
        </w:tc>
      </w:tr>
      <w:tr w:rsidR="0088398C">
        <w:tc>
          <w:tcPr>
            <w:tcW w:w="0" w:type="auto"/>
          </w:tcPr>
          <w:p w:rsidR="0088398C" w:rsidRDefault="00097E4F">
            <w:pPr>
              <w:pStyle w:val="Compact"/>
            </w:pPr>
            <w:r>
              <w:rPr>
                <w:b/>
                <w:bCs/>
              </w:rPr>
              <w:t>4 — Scale</w:t>
            </w:r>
          </w:p>
        </w:tc>
        <w:tc>
          <w:tcPr>
            <w:tcW w:w="0" w:type="auto"/>
          </w:tcPr>
          <w:p w:rsidR="0088398C" w:rsidRDefault="00097E4F">
            <w:pPr>
              <w:pStyle w:val="Compact"/>
            </w:pPr>
            <w:r>
              <w:t>Payroll (start with 1-2 countries), Performance Management, Benefits, Integration Hub</w:t>
            </w:r>
          </w:p>
        </w:tc>
        <w:tc>
          <w:tcPr>
            <w:tcW w:w="0" w:type="auto"/>
          </w:tcPr>
          <w:p w:rsidR="0088398C" w:rsidRDefault="00097E4F">
            <w:pPr>
              <w:pStyle w:val="Compact"/>
            </w:pPr>
            <w:r>
              <w:t>Expand ACV per customer</w:t>
            </w:r>
          </w:p>
        </w:tc>
      </w:tr>
      <w:tr w:rsidR="0088398C">
        <w:tc>
          <w:tcPr>
            <w:tcW w:w="0" w:type="auto"/>
          </w:tcPr>
          <w:p w:rsidR="0088398C" w:rsidRDefault="00097E4F">
            <w:pPr>
              <w:pStyle w:val="Compact"/>
            </w:pPr>
            <w:r>
              <w:rPr>
                <w:b/>
                <w:bCs/>
              </w:rPr>
              <w:t>5 — Enterprise</w:t>
            </w:r>
          </w:p>
        </w:tc>
        <w:tc>
          <w:tcPr>
            <w:tcW w:w="0" w:type="auto"/>
          </w:tcPr>
          <w:p w:rsidR="0088398C" w:rsidRDefault="00097E4F">
            <w:pPr>
              <w:pStyle w:val="Compact"/>
            </w:pPr>
            <w:r>
              <w:t>SSO/SAML, dedicated-tenant tier, data residency options, SOC 2 Type II, advanced analytics/warehouse</w:t>
            </w:r>
          </w:p>
        </w:tc>
        <w:tc>
          <w:tcPr>
            <w:tcW w:w="0" w:type="auto"/>
          </w:tcPr>
          <w:p w:rsidR="0088398C" w:rsidRDefault="00097E4F">
            <w:pPr>
              <w:pStyle w:val="Compact"/>
            </w:pPr>
            <w:r>
              <w:t>Unlock enterprise deals</w:t>
            </w:r>
          </w:p>
        </w:tc>
      </w:tr>
    </w:tbl>
    <w:p w:rsidR="0088398C" w:rsidRDefault="00097E4F">
      <w:r>
        <w:pict>
          <v:rect id="_x0000_i1042" style="width:0;height:1.5pt" o:hralign="center" o:hrstd="t" o:hr="t"/>
        </w:pict>
      </w:r>
    </w:p>
    <w:p w:rsidR="0088398C" w:rsidRDefault="00097E4F">
      <w:pPr>
        <w:pStyle w:val="Heading2"/>
      </w:pPr>
      <w:bookmarkStart w:id="53" w:name="next-steps"/>
      <w:bookmarkStart w:id="54" w:name="_Toc240618576"/>
      <w:bookmarkEnd w:id="51"/>
      <w:r>
        <w:lastRenderedPageBreak/>
        <w:t>Next Steps</w:t>
      </w:r>
      <w:bookmarkEnd w:id="54"/>
    </w:p>
    <w:p w:rsidR="0088398C" w:rsidRDefault="00097E4F">
      <w:pPr>
        <w:pStyle w:val="FirstParagraph"/>
      </w:pPr>
      <w:r>
        <w:t>This document is meant to be a living reference. Natural next steps from here: 1. Write ADRs (Architec</w:t>
      </w:r>
      <w:r>
        <w:t>ture Decision Records) for the handful of choices most likely to be contested later (monolith-vs-microservices, RLS-vs-schema-per-tenant, build-vs-buy payroll). 2. Generate the OpenAPI spec for Phase 0/1 endpoints. 3. Scaffold the actual repo structure and</w:t>
      </w:r>
      <w:r>
        <w:t xml:space="preserve"> Phase 0 code (auth + core HR + tenancy) — an AI coding agent can take section 15 + section 8’s schema directly as its starting brief. 4. Design the Postgres schema DDL in full for Phase 0/1 modules.</w:t>
      </w:r>
    </w:p>
    <w:p w:rsidR="0088398C" w:rsidRDefault="00097E4F">
      <w:pPr>
        <w:pStyle w:val="BodyText"/>
      </w:pPr>
      <w:r>
        <w:t>Happy to go deeper on any single module (e.g. full DB sc</w:t>
      </w:r>
      <w:r>
        <w:t>hema for Core HR, or the OpenAPI spec for the Leave module, or the AI Agent’s tool definitions) — just say which one.</w:t>
      </w:r>
      <w:bookmarkEnd w:id="0"/>
      <w:bookmarkEnd w:id="53"/>
    </w:p>
    <w:sectPr w:rsidR="0088398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7E4F" w:rsidRDefault="00097E4F">
      <w:pPr>
        <w:spacing w:after="0"/>
      </w:pPr>
      <w:r>
        <w:separator/>
      </w:r>
    </w:p>
  </w:endnote>
  <w:endnote w:type="continuationSeparator" w:id="0">
    <w:p w:rsidR="00097E4F" w:rsidRDefault="00097E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7E4F" w:rsidRDefault="00097E4F">
      <w:r>
        <w:separator/>
      </w:r>
    </w:p>
  </w:footnote>
  <w:footnote w:type="continuationSeparator" w:id="0">
    <w:p w:rsidR="00097E4F" w:rsidRDefault="00097E4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FF9800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00291A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D9CC7D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1"/>
  </w:num>
  <w:num w:numId="21">
    <w:abstractNumId w:val="1"/>
  </w:num>
  <w:num w:numId="22">
    <w:abstractNumId w:val="1"/>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88398C"/>
    <w:rsid w:val="00097E4F"/>
    <w:rsid w:val="0088398C"/>
    <w:rsid w:val="009D530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F3E129-0AE7-42BF-8405-F6D07DC4D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9D530D"/>
    <w:pPr>
      <w:spacing w:after="100"/>
    </w:pPr>
  </w:style>
  <w:style w:type="paragraph" w:styleId="TOC2">
    <w:name w:val="toc 2"/>
    <w:basedOn w:val="Normal"/>
    <w:next w:val="Normal"/>
    <w:autoRedefine/>
    <w:uiPriority w:val="39"/>
    <w:unhideWhenUsed/>
    <w:rsid w:val="009D530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3712</Words>
  <Characters>21161</Characters>
  <Application>Microsoft Office Word</Application>
  <DocSecurity>0</DocSecurity>
  <Lines>176</Lines>
  <Paragraphs>49</Paragraphs>
  <ScaleCrop>false</ScaleCrop>
  <Company/>
  <LinksUpToDate>false</LinksUpToDate>
  <CharactersWithSpaces>24824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Zafar Iqbal Mughal</cp:lastModifiedBy>
  <cp:revision>3</cp:revision>
  <dcterms:created xsi:type="dcterms:W3CDTF">2026-09-18T05:07:00Z</dcterms:created>
  <dcterms:modified xsi:type="dcterms:W3CDTF">2026-09-18T05:09:00Z</dcterms:modified>
</cp:coreProperties>
</file>