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4E8FC">
      <w:pPr>
        <w:spacing w:before="78" w:after="78"/>
        <w:jc w:val="left"/>
        <w:rPr>
          <w:spacing w:val="40"/>
        </w:rPr>
      </w:pPr>
      <w:bookmarkStart w:id="36" w:name="_GoBack"/>
      <w:r>
        <w:rPr>
          <w:rFonts w:hint="eastAsia" w:hAnsi="宋体"/>
          <w:spacing w:val="40"/>
        </w:rPr>
        <w:t>附件</w:t>
      </w:r>
      <w:r>
        <w:rPr>
          <w:spacing w:val="40"/>
        </w:rPr>
        <w:t>2</w:t>
      </w:r>
      <w:r>
        <w:rPr>
          <w:rFonts w:hint="eastAsia" w:hAnsi="宋体"/>
          <w:spacing w:val="40"/>
        </w:rPr>
        <w:t>：</w:t>
      </w:r>
    </w:p>
    <w:p w14:paraId="1F9AC0F9">
      <w:pPr>
        <w:spacing w:before="78" w:after="78"/>
        <w:ind w:firstLine="883"/>
        <w:jc w:val="center"/>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2023110966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徐冰 </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71A58FCD">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_Toc88311075 </w:instrText>
      </w:r>
      <w:r>
        <w:fldChar w:fldCharType="separate"/>
      </w:r>
      <w:r>
        <w:rPr>
          <w:rFonts w:ascii="黑体" w:hAnsi="黑体" w:eastAsia="黑体" w:cs="黑体"/>
        </w:rPr>
        <w:t>1．课题来源及研究的目的和意义</w:t>
      </w:r>
      <w:r>
        <w:tab/>
      </w:r>
      <w:r>
        <w:fldChar w:fldCharType="begin"/>
      </w:r>
      <w:r>
        <w:instrText xml:space="preserve"> PAGEREF _Toc88311075 \h </w:instrText>
      </w:r>
      <w:r>
        <w:fldChar w:fldCharType="separate"/>
      </w:r>
      <w:r>
        <w:t>3</w:t>
      </w:r>
      <w:r>
        <w:fldChar w:fldCharType="end"/>
      </w:r>
      <w:r>
        <w:fldChar w:fldCharType="end"/>
      </w:r>
    </w:p>
    <w:p w14:paraId="0BAB3431">
      <w:pPr>
        <w:pStyle w:val="8"/>
        <w:tabs>
          <w:tab w:val="right" w:leader="dot" w:pos="8306"/>
        </w:tabs>
      </w:pPr>
      <w:r>
        <w:fldChar w:fldCharType="begin"/>
      </w:r>
      <w:r>
        <w:instrText xml:space="preserve"> HYPERLINK \l _Toc333037448 </w:instrText>
      </w:r>
      <w:r>
        <w:fldChar w:fldCharType="separate"/>
      </w:r>
      <w:r>
        <w:rPr>
          <w:rFonts w:ascii="黑体" w:hAnsi="黑体" w:eastAsia="黑体" w:cs="黑体"/>
        </w:rPr>
        <w:t>1.1 课题来源</w:t>
      </w:r>
      <w:r>
        <w:tab/>
      </w:r>
      <w:r>
        <w:fldChar w:fldCharType="begin"/>
      </w:r>
      <w:r>
        <w:instrText xml:space="preserve"> PAGEREF _Toc333037448 \h </w:instrText>
      </w:r>
      <w:r>
        <w:fldChar w:fldCharType="separate"/>
      </w:r>
      <w:r>
        <w:t>3</w:t>
      </w:r>
      <w:r>
        <w:fldChar w:fldCharType="end"/>
      </w:r>
      <w:r>
        <w:fldChar w:fldCharType="end"/>
      </w:r>
    </w:p>
    <w:p w14:paraId="432DCDE5">
      <w:pPr>
        <w:pStyle w:val="8"/>
        <w:tabs>
          <w:tab w:val="right" w:leader="dot" w:pos="8306"/>
        </w:tabs>
      </w:pPr>
      <w:r>
        <w:fldChar w:fldCharType="begin"/>
      </w:r>
      <w:r>
        <w:instrText xml:space="preserve"> HYPERLINK \l _Toc1018004454 </w:instrText>
      </w:r>
      <w:r>
        <w:fldChar w:fldCharType="separate"/>
      </w:r>
      <w:r>
        <w:rPr>
          <w:rFonts w:ascii="黑体" w:hAnsi="黑体" w:eastAsia="黑体" w:cs="黑体"/>
        </w:rPr>
        <w:t>1.2 研究背景</w:t>
      </w:r>
      <w:r>
        <w:tab/>
      </w:r>
      <w:r>
        <w:fldChar w:fldCharType="begin"/>
      </w:r>
      <w:r>
        <w:instrText xml:space="preserve"> PAGEREF _Toc1018004454 \h </w:instrText>
      </w:r>
      <w:r>
        <w:fldChar w:fldCharType="separate"/>
      </w:r>
      <w:r>
        <w:t>3</w:t>
      </w:r>
      <w:r>
        <w:fldChar w:fldCharType="end"/>
      </w:r>
      <w:r>
        <w:fldChar w:fldCharType="end"/>
      </w:r>
    </w:p>
    <w:p w14:paraId="1ABEFF35">
      <w:pPr>
        <w:pStyle w:val="8"/>
        <w:tabs>
          <w:tab w:val="right" w:leader="dot" w:pos="8306"/>
        </w:tabs>
      </w:pPr>
      <w:r>
        <w:fldChar w:fldCharType="begin"/>
      </w:r>
      <w:r>
        <w:instrText xml:space="preserve"> HYPERLINK \l _Toc598642729 </w:instrText>
      </w:r>
      <w:r>
        <w:fldChar w:fldCharType="separate"/>
      </w:r>
      <w:r>
        <w:rPr>
          <w:rFonts w:ascii="黑体" w:hAnsi="黑体" w:eastAsia="黑体" w:cs="黑体"/>
        </w:rPr>
        <w:t>1.3 传统后训练方法的局限</w:t>
      </w:r>
      <w:r>
        <w:tab/>
      </w:r>
      <w:r>
        <w:fldChar w:fldCharType="begin"/>
      </w:r>
      <w:r>
        <w:instrText xml:space="preserve"> PAGEREF _Toc598642729 \h </w:instrText>
      </w:r>
      <w:r>
        <w:fldChar w:fldCharType="separate"/>
      </w:r>
      <w:r>
        <w:t>4</w:t>
      </w:r>
      <w:r>
        <w:fldChar w:fldCharType="end"/>
      </w:r>
      <w:r>
        <w:fldChar w:fldCharType="end"/>
      </w:r>
    </w:p>
    <w:p w14:paraId="2894B87E">
      <w:pPr>
        <w:pStyle w:val="8"/>
        <w:tabs>
          <w:tab w:val="right" w:leader="dot" w:pos="8306"/>
        </w:tabs>
      </w:pPr>
      <w:r>
        <w:fldChar w:fldCharType="begin"/>
      </w:r>
      <w:r>
        <w:instrText xml:space="preserve"> HYPERLINK \l _Toc427460108 </w:instrText>
      </w:r>
      <w:r>
        <w:fldChar w:fldCharType="separate"/>
      </w:r>
      <w:r>
        <w:rPr>
          <w:rFonts w:ascii="黑体" w:hAnsi="黑体" w:eastAsia="黑体" w:cs="黑体"/>
        </w:rPr>
        <w:t>1.4 在线策略蒸馏的研究价值</w:t>
      </w:r>
      <w:r>
        <w:tab/>
      </w:r>
      <w:r>
        <w:fldChar w:fldCharType="begin"/>
      </w:r>
      <w:r>
        <w:instrText xml:space="preserve"> PAGEREF _Toc427460108 \h </w:instrText>
      </w:r>
      <w:r>
        <w:fldChar w:fldCharType="separate"/>
      </w:r>
      <w:r>
        <w:t>5</w:t>
      </w:r>
      <w:r>
        <w:fldChar w:fldCharType="end"/>
      </w:r>
      <w:r>
        <w:fldChar w:fldCharType="end"/>
      </w:r>
    </w:p>
    <w:p w14:paraId="01AF5A8A">
      <w:pPr>
        <w:pStyle w:val="8"/>
        <w:tabs>
          <w:tab w:val="right" w:leader="dot" w:pos="8306"/>
        </w:tabs>
      </w:pPr>
      <w:r>
        <w:fldChar w:fldCharType="begin"/>
      </w:r>
      <w:r>
        <w:instrText xml:space="preserve"> HYPERLINK \l _Toc989235941 </w:instrText>
      </w:r>
      <w:r>
        <w:fldChar w:fldCharType="separate"/>
      </w:r>
      <w:r>
        <w:rPr>
          <w:rFonts w:ascii="黑体" w:hAnsi="黑体" w:eastAsia="黑体" w:cs="黑体"/>
        </w:rPr>
        <w:t>1.5 研究目的和意义</w:t>
      </w:r>
      <w:r>
        <w:tab/>
      </w:r>
      <w:r>
        <w:fldChar w:fldCharType="begin"/>
      </w:r>
      <w:r>
        <w:instrText xml:space="preserve"> PAGEREF _Toc989235941 \h </w:instrText>
      </w:r>
      <w:r>
        <w:fldChar w:fldCharType="separate"/>
      </w:r>
      <w:r>
        <w:t>5</w:t>
      </w:r>
      <w:r>
        <w:fldChar w:fldCharType="end"/>
      </w:r>
      <w:r>
        <w:fldChar w:fldCharType="end"/>
      </w:r>
    </w:p>
    <w:p w14:paraId="0F6F7824">
      <w:pPr>
        <w:pStyle w:val="7"/>
        <w:tabs>
          <w:tab w:val="right" w:leader="dot" w:pos="8306"/>
        </w:tabs>
      </w:pPr>
      <w:r>
        <w:fldChar w:fldCharType="begin"/>
      </w:r>
      <w:r>
        <w:instrText xml:space="preserve"> HYPERLINK \l _Toc270065313 </w:instrText>
      </w:r>
      <w:r>
        <w:fldChar w:fldCharType="separate"/>
      </w:r>
      <w:r>
        <w:rPr>
          <w:rFonts w:ascii="黑体" w:hAnsi="黑体" w:eastAsia="黑体" w:cs="黑体"/>
        </w:rPr>
        <w:t>2．国内外在该方向的研究现状及分析</w:t>
      </w:r>
      <w:r>
        <w:tab/>
      </w:r>
      <w:r>
        <w:fldChar w:fldCharType="begin"/>
      </w:r>
      <w:r>
        <w:instrText xml:space="preserve"> PAGEREF _Toc270065313 \h </w:instrText>
      </w:r>
      <w:r>
        <w:fldChar w:fldCharType="separate"/>
      </w:r>
      <w:r>
        <w:t>6</w:t>
      </w:r>
      <w:r>
        <w:fldChar w:fldCharType="end"/>
      </w:r>
      <w:r>
        <w:fldChar w:fldCharType="end"/>
      </w:r>
    </w:p>
    <w:p w14:paraId="69817F63">
      <w:pPr>
        <w:pStyle w:val="8"/>
        <w:tabs>
          <w:tab w:val="right" w:leader="dot" w:pos="8306"/>
        </w:tabs>
      </w:pPr>
      <w:r>
        <w:fldChar w:fldCharType="begin"/>
      </w:r>
      <w:r>
        <w:instrText xml:space="preserve"> HYPERLINK \l _Toc1354769480 </w:instrText>
      </w:r>
      <w:r>
        <w:fldChar w:fldCharType="separate"/>
      </w:r>
      <w:r>
        <w:rPr>
          <w:rFonts w:ascii="黑体" w:hAnsi="黑体" w:eastAsia="黑体" w:cs="黑体"/>
        </w:rPr>
        <w:t>2.1 大语言模型后训练和知识蒸馏</w:t>
      </w:r>
      <w:r>
        <w:tab/>
      </w:r>
      <w:r>
        <w:fldChar w:fldCharType="begin"/>
      </w:r>
      <w:r>
        <w:instrText xml:space="preserve"> PAGEREF _Toc1354769480 \h </w:instrText>
      </w:r>
      <w:r>
        <w:fldChar w:fldCharType="separate"/>
      </w:r>
      <w:r>
        <w:t>6</w:t>
      </w:r>
      <w:r>
        <w:fldChar w:fldCharType="end"/>
      </w:r>
      <w:r>
        <w:fldChar w:fldCharType="end"/>
      </w:r>
    </w:p>
    <w:p w14:paraId="0BF236CF">
      <w:pPr>
        <w:pStyle w:val="8"/>
        <w:tabs>
          <w:tab w:val="right" w:leader="dot" w:pos="8306"/>
        </w:tabs>
      </w:pPr>
      <w:r>
        <w:fldChar w:fldCharType="begin"/>
      </w:r>
      <w:r>
        <w:instrText xml:space="preserve"> HYPERLINK \l _Toc1989024866 </w:instrText>
      </w:r>
      <w:r>
        <w:fldChar w:fldCharType="separate"/>
      </w:r>
      <w:r>
        <w:rPr>
          <w:rFonts w:ascii="黑体" w:hAnsi="黑体" w:eastAsia="黑体" w:cs="黑体"/>
        </w:rPr>
        <w:t>2.2 分布偏移与在线策略蒸馏</w:t>
      </w:r>
      <w:r>
        <w:tab/>
      </w:r>
      <w:r>
        <w:fldChar w:fldCharType="begin"/>
      </w:r>
      <w:r>
        <w:instrText xml:space="preserve"> PAGEREF _Toc1989024866 \h </w:instrText>
      </w:r>
      <w:r>
        <w:fldChar w:fldCharType="separate"/>
      </w:r>
      <w:r>
        <w:t>7</w:t>
      </w:r>
      <w:r>
        <w:fldChar w:fldCharType="end"/>
      </w:r>
      <w:r>
        <w:fldChar w:fldCharType="end"/>
      </w:r>
    </w:p>
    <w:p w14:paraId="51C28282">
      <w:pPr>
        <w:pStyle w:val="8"/>
        <w:tabs>
          <w:tab w:val="right" w:leader="dot" w:pos="8306"/>
        </w:tabs>
      </w:pPr>
      <w:r>
        <w:fldChar w:fldCharType="begin"/>
      </w:r>
      <w:r>
        <w:instrText xml:space="preserve"> HYPERLINK \l _Toc1810473660 </w:instrText>
      </w:r>
      <w:r>
        <w:fldChar w:fldCharType="separate"/>
      </w:r>
      <w:r>
        <w:rPr>
          <w:rFonts w:ascii="黑体" w:hAnsi="黑体" w:eastAsia="黑体" w:cs="黑体"/>
        </w:rPr>
        <w:t>2.3 KL 散度方向与广义散度</w:t>
      </w:r>
      <w:r>
        <w:tab/>
      </w:r>
      <w:r>
        <w:fldChar w:fldCharType="begin"/>
      </w:r>
      <w:r>
        <w:instrText xml:space="preserve"> PAGEREF _Toc1810473660 \h </w:instrText>
      </w:r>
      <w:r>
        <w:fldChar w:fldCharType="separate"/>
      </w:r>
      <w:r>
        <w:t>9</w:t>
      </w:r>
      <w:r>
        <w:fldChar w:fldCharType="end"/>
      </w:r>
      <w:r>
        <w:fldChar w:fldCharType="end"/>
      </w:r>
    </w:p>
    <w:p w14:paraId="7BD7C750">
      <w:pPr>
        <w:pStyle w:val="8"/>
        <w:tabs>
          <w:tab w:val="right" w:leader="dot" w:pos="8306"/>
        </w:tabs>
      </w:pPr>
      <w:r>
        <w:fldChar w:fldCharType="begin"/>
      </w:r>
      <w:r>
        <w:instrText xml:space="preserve"> HYPERLINK \l _Toc935009277 </w:instrText>
      </w:r>
      <w:r>
        <w:fldChar w:fldCharType="separate"/>
      </w:r>
      <w:r>
        <w:rPr>
          <w:rFonts w:ascii="黑体" w:hAnsi="黑体" w:eastAsia="黑体" w:cs="黑体"/>
        </w:rPr>
        <w:t>2.4 监督信息粒度与资源效率</w:t>
      </w:r>
      <w:r>
        <w:tab/>
      </w:r>
      <w:r>
        <w:fldChar w:fldCharType="begin"/>
      </w:r>
      <w:r>
        <w:instrText xml:space="preserve"> PAGEREF _Toc935009277 \h </w:instrText>
      </w:r>
      <w:r>
        <w:fldChar w:fldCharType="separate"/>
      </w:r>
      <w:r>
        <w:t>10</w:t>
      </w:r>
      <w:r>
        <w:fldChar w:fldCharType="end"/>
      </w:r>
      <w:r>
        <w:fldChar w:fldCharType="end"/>
      </w:r>
    </w:p>
    <w:p w14:paraId="7DE0CE8A">
      <w:pPr>
        <w:pStyle w:val="8"/>
        <w:tabs>
          <w:tab w:val="right" w:leader="dot" w:pos="8306"/>
        </w:tabs>
      </w:pPr>
      <w:r>
        <w:fldChar w:fldCharType="begin"/>
      </w:r>
      <w:r>
        <w:instrText xml:space="preserve"> HYPERLINK \l _Toc1563073440 </w:instrText>
      </w:r>
      <w:r>
        <w:fldChar w:fldCharType="separate"/>
      </w:r>
      <w:r>
        <w:rPr>
          <w:rFonts w:ascii="黑体" w:hAnsi="黑体" w:eastAsia="黑体" w:cs="黑体"/>
        </w:rPr>
        <w:t>2.5 Function Calling 数据与评测研究</w:t>
      </w:r>
      <w:r>
        <w:tab/>
      </w:r>
      <w:r>
        <w:fldChar w:fldCharType="begin"/>
      </w:r>
      <w:r>
        <w:instrText xml:space="preserve"> PAGEREF _Toc1563073440 \h </w:instrText>
      </w:r>
      <w:r>
        <w:fldChar w:fldCharType="separate"/>
      </w:r>
      <w:r>
        <w:t>11</w:t>
      </w:r>
      <w:r>
        <w:fldChar w:fldCharType="end"/>
      </w:r>
      <w:r>
        <w:fldChar w:fldCharType="end"/>
      </w:r>
    </w:p>
    <w:p w14:paraId="3ED6D74C">
      <w:pPr>
        <w:pStyle w:val="7"/>
        <w:tabs>
          <w:tab w:val="right" w:leader="dot" w:pos="8306"/>
        </w:tabs>
      </w:pPr>
      <w:r>
        <w:fldChar w:fldCharType="begin"/>
      </w:r>
      <w:r>
        <w:instrText xml:space="preserve"> HYPERLINK \l _Toc407852329 </w:instrText>
      </w:r>
      <w:r>
        <w:fldChar w:fldCharType="separate"/>
      </w:r>
      <w:r>
        <w:rPr>
          <w:rFonts w:ascii="黑体" w:hAnsi="黑体" w:eastAsia="黑体" w:cs="黑体"/>
        </w:rPr>
        <w:t>3．主要研究内容</w:t>
      </w:r>
      <w:r>
        <w:tab/>
      </w:r>
      <w:r>
        <w:fldChar w:fldCharType="begin"/>
      </w:r>
      <w:r>
        <w:instrText xml:space="preserve"> PAGEREF _Toc407852329 \h </w:instrText>
      </w:r>
      <w:r>
        <w:fldChar w:fldCharType="separate"/>
      </w:r>
      <w:r>
        <w:t>13</w:t>
      </w:r>
      <w:r>
        <w:fldChar w:fldCharType="end"/>
      </w:r>
      <w:r>
        <w:fldChar w:fldCharType="end"/>
      </w:r>
    </w:p>
    <w:p w14:paraId="318E3BA2">
      <w:pPr>
        <w:pStyle w:val="8"/>
        <w:tabs>
          <w:tab w:val="right" w:leader="dot" w:pos="8306"/>
        </w:tabs>
      </w:pPr>
      <w:r>
        <w:fldChar w:fldCharType="begin"/>
      </w:r>
      <w:r>
        <w:instrText xml:space="preserve"> HYPERLINK \l _Toc6292279 </w:instrText>
      </w:r>
      <w:r>
        <w:fldChar w:fldCharType="separate"/>
      </w:r>
      <w:r>
        <w:rPr>
          <w:rFonts w:ascii="黑体" w:hAnsi="黑体" w:eastAsia="黑体" w:cs="黑体"/>
        </w:rPr>
        <w:t>3.1 统一的在线策略蒸馏研究流程</w:t>
      </w:r>
      <w:r>
        <w:tab/>
      </w:r>
      <w:r>
        <w:fldChar w:fldCharType="begin"/>
      </w:r>
      <w:r>
        <w:instrText xml:space="preserve"> PAGEREF _Toc6292279 \h </w:instrText>
      </w:r>
      <w:r>
        <w:fldChar w:fldCharType="separate"/>
      </w:r>
      <w:r>
        <w:t>13</w:t>
      </w:r>
      <w:r>
        <w:fldChar w:fldCharType="end"/>
      </w:r>
      <w:r>
        <w:fldChar w:fldCharType="end"/>
      </w:r>
    </w:p>
    <w:p w14:paraId="3DEEF126">
      <w:pPr>
        <w:pStyle w:val="8"/>
        <w:tabs>
          <w:tab w:val="right" w:leader="dot" w:pos="8306"/>
        </w:tabs>
      </w:pPr>
      <w:r>
        <w:fldChar w:fldCharType="begin"/>
      </w:r>
      <w:r>
        <w:instrText xml:space="preserve"> HYPERLINK \l _Toc527634450 </w:instrText>
      </w:r>
      <w:r>
        <w:fldChar w:fldCharType="separate"/>
      </w:r>
      <w:r>
        <w:rPr>
          <w:rFonts w:ascii="黑体" w:hAnsi="黑体" w:eastAsia="黑体" w:cs="黑体"/>
        </w:rPr>
        <w:t>3.2 三类散度目标</w:t>
      </w:r>
      <w:r>
        <w:tab/>
      </w:r>
      <w:r>
        <w:fldChar w:fldCharType="begin"/>
      </w:r>
      <w:r>
        <w:instrText xml:space="preserve"> PAGEREF _Toc527634450 \h </w:instrText>
      </w:r>
      <w:r>
        <w:fldChar w:fldCharType="separate"/>
      </w:r>
      <w:r>
        <w:t>13</w:t>
      </w:r>
      <w:r>
        <w:fldChar w:fldCharType="end"/>
      </w:r>
      <w:r>
        <w:fldChar w:fldCharType="end"/>
      </w:r>
    </w:p>
    <w:p w14:paraId="342A9E35">
      <w:pPr>
        <w:pStyle w:val="8"/>
        <w:tabs>
          <w:tab w:val="right" w:leader="dot" w:pos="8306"/>
        </w:tabs>
      </w:pPr>
      <w:r>
        <w:fldChar w:fldCharType="begin"/>
      </w:r>
      <w:r>
        <w:instrText xml:space="preserve"> HYPERLINK \l _Toc992222687 </w:instrText>
      </w:r>
      <w:r>
        <w:fldChar w:fldCharType="separate"/>
      </w:r>
      <w:r>
        <w:rPr>
          <w:rFonts w:ascii="黑体" w:hAnsi="黑体" w:eastAsia="黑体" w:cs="黑体"/>
        </w:rPr>
        <w:t>3.3 三种监督信息粒度/估计方式</w:t>
      </w:r>
      <w:r>
        <w:tab/>
      </w:r>
      <w:r>
        <w:fldChar w:fldCharType="begin"/>
      </w:r>
      <w:r>
        <w:instrText xml:space="preserve"> PAGEREF _Toc992222687 \h </w:instrText>
      </w:r>
      <w:r>
        <w:fldChar w:fldCharType="separate"/>
      </w:r>
      <w:r>
        <w:t>13</w:t>
      </w:r>
      <w:r>
        <w:fldChar w:fldCharType="end"/>
      </w:r>
      <w:r>
        <w:fldChar w:fldCharType="end"/>
      </w:r>
    </w:p>
    <w:p w14:paraId="3BDFB6E9">
      <w:pPr>
        <w:pStyle w:val="8"/>
        <w:tabs>
          <w:tab w:val="right" w:leader="dot" w:pos="8306"/>
        </w:tabs>
      </w:pPr>
      <w:r>
        <w:fldChar w:fldCharType="begin"/>
      </w:r>
      <w:r>
        <w:instrText xml:space="preserve"> HYPERLINK \l _Toc1076181454 </w:instrText>
      </w:r>
      <w:r>
        <w:fldChar w:fldCharType="separate"/>
      </w:r>
      <w:r>
        <w:rPr>
          <w:rFonts w:ascii="黑体" w:hAnsi="黑体" w:eastAsia="黑体" w:cs="黑体"/>
        </w:rPr>
        <w:t>3.4 LoRA 后训练与教师—学生关系</w:t>
      </w:r>
      <w:r>
        <w:tab/>
      </w:r>
      <w:r>
        <w:fldChar w:fldCharType="begin"/>
      </w:r>
      <w:r>
        <w:instrText xml:space="preserve"> PAGEREF _Toc1076181454 \h </w:instrText>
      </w:r>
      <w:r>
        <w:fldChar w:fldCharType="separate"/>
      </w:r>
      <w:r>
        <w:t>14</w:t>
      </w:r>
      <w:r>
        <w:fldChar w:fldCharType="end"/>
      </w:r>
      <w:r>
        <w:fldChar w:fldCharType="end"/>
      </w:r>
    </w:p>
    <w:p w14:paraId="704BE7F5">
      <w:pPr>
        <w:pStyle w:val="8"/>
        <w:tabs>
          <w:tab w:val="right" w:leader="dot" w:pos="8306"/>
        </w:tabs>
      </w:pPr>
      <w:r>
        <w:fldChar w:fldCharType="begin"/>
      </w:r>
      <w:r>
        <w:instrText xml:space="preserve"> HYPERLINK \l _Toc1274422344 </w:instrText>
      </w:r>
      <w:r>
        <w:fldChar w:fldCharType="separate"/>
      </w:r>
      <w:r>
        <w:rPr>
          <w:rFonts w:ascii="黑体" w:hAnsi="黑体" w:eastAsia="黑体" w:cs="黑体"/>
        </w:rPr>
        <w:t>3.5 Function Calling 评测与推理性能分析</w:t>
      </w:r>
      <w:r>
        <w:tab/>
      </w:r>
      <w:r>
        <w:fldChar w:fldCharType="begin"/>
      </w:r>
      <w:r>
        <w:instrText xml:space="preserve"> PAGEREF _Toc1274422344 \h </w:instrText>
      </w:r>
      <w:r>
        <w:fldChar w:fldCharType="separate"/>
      </w:r>
      <w:r>
        <w:t>14</w:t>
      </w:r>
      <w:r>
        <w:fldChar w:fldCharType="end"/>
      </w:r>
      <w:r>
        <w:fldChar w:fldCharType="end"/>
      </w:r>
    </w:p>
    <w:p w14:paraId="31DB8D33">
      <w:pPr>
        <w:pStyle w:val="8"/>
        <w:tabs>
          <w:tab w:val="right" w:leader="dot" w:pos="8306"/>
        </w:tabs>
      </w:pPr>
      <w:r>
        <w:fldChar w:fldCharType="begin"/>
      </w:r>
      <w:r>
        <w:instrText xml:space="preserve"> HYPERLINK \l _Toc214440430 </w:instrText>
      </w:r>
      <w:r>
        <w:fldChar w:fldCharType="separate"/>
      </w:r>
      <w:r>
        <w:rPr>
          <w:rFonts w:ascii="黑体" w:hAnsi="黑体" w:eastAsia="黑体" w:cs="黑体"/>
        </w:rPr>
        <w:t>3.6 研究问题</w:t>
      </w:r>
      <w:r>
        <w:tab/>
      </w:r>
      <w:r>
        <w:fldChar w:fldCharType="begin"/>
      </w:r>
      <w:r>
        <w:instrText xml:space="preserve"> PAGEREF _Toc214440430 \h </w:instrText>
      </w:r>
      <w:r>
        <w:fldChar w:fldCharType="separate"/>
      </w:r>
      <w:r>
        <w:t>14</w:t>
      </w:r>
      <w:r>
        <w:fldChar w:fldCharType="end"/>
      </w:r>
      <w:r>
        <w:fldChar w:fldCharType="end"/>
      </w:r>
    </w:p>
    <w:p w14:paraId="0FE4142B">
      <w:pPr>
        <w:pStyle w:val="8"/>
        <w:tabs>
          <w:tab w:val="right" w:leader="dot" w:pos="8306"/>
        </w:tabs>
      </w:pPr>
      <w:r>
        <w:fldChar w:fldCharType="begin"/>
      </w:r>
      <w:r>
        <w:instrText xml:space="preserve"> HYPERLINK \l _Toc622747344 </w:instrText>
      </w:r>
      <w:r>
        <w:fldChar w:fldCharType="separate"/>
      </w:r>
      <w:r>
        <w:rPr>
          <w:rFonts w:ascii="黑体" w:hAnsi="黑体" w:eastAsia="黑体" w:cs="黑体"/>
        </w:rPr>
        <w:t>3.7 各研究内容之间的关系</w:t>
      </w:r>
      <w:r>
        <w:tab/>
      </w:r>
      <w:r>
        <w:fldChar w:fldCharType="begin"/>
      </w:r>
      <w:r>
        <w:instrText xml:space="preserve"> PAGEREF _Toc622747344 \h </w:instrText>
      </w:r>
      <w:r>
        <w:fldChar w:fldCharType="separate"/>
      </w:r>
      <w:r>
        <w:t>15</w:t>
      </w:r>
      <w:r>
        <w:fldChar w:fldCharType="end"/>
      </w:r>
      <w:r>
        <w:fldChar w:fldCharType="end"/>
      </w:r>
    </w:p>
    <w:p w14:paraId="0094D178">
      <w:pPr>
        <w:pStyle w:val="7"/>
        <w:tabs>
          <w:tab w:val="right" w:leader="dot" w:pos="8306"/>
        </w:tabs>
      </w:pPr>
      <w:r>
        <w:fldChar w:fldCharType="begin"/>
      </w:r>
      <w:r>
        <w:instrText xml:space="preserve"> HYPERLINK \l _Toc1826798777 </w:instrText>
      </w:r>
      <w:r>
        <w:fldChar w:fldCharType="separate"/>
      </w:r>
      <w:r>
        <w:rPr>
          <w:rFonts w:ascii="黑体" w:hAnsi="黑体" w:eastAsia="黑体" w:cs="黑体"/>
        </w:rPr>
        <w:t>4．研究方案</w:t>
      </w:r>
      <w:r>
        <w:tab/>
      </w:r>
      <w:r>
        <w:fldChar w:fldCharType="begin"/>
      </w:r>
      <w:r>
        <w:instrText xml:space="preserve"> PAGEREF _Toc1826798777 \h </w:instrText>
      </w:r>
      <w:r>
        <w:fldChar w:fldCharType="separate"/>
      </w:r>
      <w:r>
        <w:t>15</w:t>
      </w:r>
      <w:r>
        <w:fldChar w:fldCharType="end"/>
      </w:r>
      <w:r>
        <w:fldChar w:fldCharType="end"/>
      </w:r>
    </w:p>
    <w:p w14:paraId="341E7DC2">
      <w:pPr>
        <w:pStyle w:val="8"/>
        <w:tabs>
          <w:tab w:val="right" w:leader="dot" w:pos="8306"/>
        </w:tabs>
      </w:pPr>
      <w:r>
        <w:fldChar w:fldCharType="begin"/>
      </w:r>
      <w:r>
        <w:instrText xml:space="preserve"> HYPERLINK \l _Toc433343880 </w:instrText>
      </w:r>
      <w:r>
        <w:fldChar w:fldCharType="separate"/>
      </w:r>
      <w:r>
        <w:rPr>
          <w:rFonts w:ascii="黑体" w:hAnsi="黑体" w:eastAsia="黑体" w:cs="黑体"/>
        </w:rPr>
        <w:t>4.1 总体技术路线</w:t>
      </w:r>
      <w:r>
        <w:tab/>
      </w:r>
      <w:r>
        <w:fldChar w:fldCharType="begin"/>
      </w:r>
      <w:r>
        <w:instrText xml:space="preserve"> PAGEREF _Toc433343880 \h </w:instrText>
      </w:r>
      <w:r>
        <w:fldChar w:fldCharType="separate"/>
      </w:r>
      <w:r>
        <w:t>15</w:t>
      </w:r>
      <w:r>
        <w:fldChar w:fldCharType="end"/>
      </w:r>
      <w:r>
        <w:fldChar w:fldCharType="end"/>
      </w:r>
    </w:p>
    <w:p w14:paraId="56A7503E">
      <w:pPr>
        <w:pStyle w:val="8"/>
        <w:tabs>
          <w:tab w:val="right" w:leader="dot" w:pos="8306"/>
        </w:tabs>
      </w:pPr>
      <w:r>
        <w:fldChar w:fldCharType="begin"/>
      </w:r>
      <w:r>
        <w:instrText xml:space="preserve"> HYPERLINK \l _Toc1093544183 </w:instrText>
      </w:r>
      <w:r>
        <w:fldChar w:fldCharType="separate"/>
      </w:r>
      <w:r>
        <w:rPr>
          <w:rFonts w:ascii="黑体" w:hAnsi="黑体" w:eastAsia="黑体" w:cs="黑体"/>
        </w:rPr>
        <w:t>4.2 模型和数据准备</w:t>
      </w:r>
      <w:r>
        <w:tab/>
      </w:r>
      <w:r>
        <w:fldChar w:fldCharType="begin"/>
      </w:r>
      <w:r>
        <w:instrText xml:space="preserve"> PAGEREF _Toc1093544183 \h </w:instrText>
      </w:r>
      <w:r>
        <w:fldChar w:fldCharType="separate"/>
      </w:r>
      <w:r>
        <w:t>16</w:t>
      </w:r>
      <w:r>
        <w:fldChar w:fldCharType="end"/>
      </w:r>
      <w:r>
        <w:fldChar w:fldCharType="end"/>
      </w:r>
    </w:p>
    <w:p w14:paraId="3A85EAA0">
      <w:pPr>
        <w:pStyle w:val="8"/>
        <w:tabs>
          <w:tab w:val="right" w:leader="dot" w:pos="8306"/>
        </w:tabs>
      </w:pPr>
      <w:r>
        <w:fldChar w:fldCharType="begin"/>
      </w:r>
      <w:r>
        <w:instrText xml:space="preserve"> HYPERLINK \l _Toc1032032655 </w:instrText>
      </w:r>
      <w:r>
        <w:fldChar w:fldCharType="separate"/>
      </w:r>
      <w:r>
        <w:rPr>
          <w:rFonts w:ascii="黑体" w:hAnsi="黑体" w:eastAsia="黑体" w:cs="黑体"/>
        </w:rPr>
        <w:t>4.3 学生 rollout 和教师反馈</w:t>
      </w:r>
      <w:r>
        <w:tab/>
      </w:r>
      <w:r>
        <w:fldChar w:fldCharType="begin"/>
      </w:r>
      <w:r>
        <w:instrText xml:space="preserve"> PAGEREF _Toc1032032655 \h </w:instrText>
      </w:r>
      <w:r>
        <w:fldChar w:fldCharType="separate"/>
      </w:r>
      <w:r>
        <w:t>16</w:t>
      </w:r>
      <w:r>
        <w:fldChar w:fldCharType="end"/>
      </w:r>
      <w:r>
        <w:fldChar w:fldCharType="end"/>
      </w:r>
    </w:p>
    <w:p w14:paraId="13CBE342">
      <w:pPr>
        <w:pStyle w:val="8"/>
        <w:tabs>
          <w:tab w:val="right" w:leader="dot" w:pos="8306"/>
        </w:tabs>
      </w:pPr>
      <w:r>
        <w:fldChar w:fldCharType="begin"/>
      </w:r>
      <w:r>
        <w:instrText xml:space="preserve"> HYPERLINK \l _Toc147415766 </w:instrText>
      </w:r>
      <w:r>
        <w:fldChar w:fldCharType="separate"/>
      </w:r>
      <w:r>
        <w:rPr>
          <w:rFonts w:ascii="黑体" w:hAnsi="黑体" w:eastAsia="黑体" w:cs="黑体"/>
        </w:rPr>
        <w:t>4.4 损失与监督信息粒度/估计方式的定义原则</w:t>
      </w:r>
      <w:r>
        <w:tab/>
      </w:r>
      <w:r>
        <w:fldChar w:fldCharType="begin"/>
      </w:r>
      <w:r>
        <w:instrText xml:space="preserve"> PAGEREF _Toc147415766 \h </w:instrText>
      </w:r>
      <w:r>
        <w:fldChar w:fldCharType="separate"/>
      </w:r>
      <w:r>
        <w:t>17</w:t>
      </w:r>
      <w:r>
        <w:fldChar w:fldCharType="end"/>
      </w:r>
      <w:r>
        <w:fldChar w:fldCharType="end"/>
      </w:r>
    </w:p>
    <w:p w14:paraId="6B92C33A">
      <w:pPr>
        <w:pStyle w:val="8"/>
        <w:tabs>
          <w:tab w:val="right" w:leader="dot" w:pos="8306"/>
        </w:tabs>
      </w:pPr>
      <w:r>
        <w:fldChar w:fldCharType="begin"/>
      </w:r>
      <w:r>
        <w:instrText xml:space="preserve"> HYPERLINK \l _Toc1568134171 </w:instrText>
      </w:r>
      <w:r>
        <w:fldChar w:fldCharType="separate"/>
      </w:r>
      <w:r>
        <w:rPr>
          <w:rFonts w:ascii="黑体" w:hAnsi="黑体" w:eastAsia="黑体" w:cs="黑体"/>
        </w:rPr>
        <w:t>4.5 评价指标和公平性</w:t>
      </w:r>
      <w:r>
        <w:tab/>
      </w:r>
      <w:r>
        <w:fldChar w:fldCharType="begin"/>
      </w:r>
      <w:r>
        <w:instrText xml:space="preserve"> PAGEREF _Toc1568134171 \h </w:instrText>
      </w:r>
      <w:r>
        <w:fldChar w:fldCharType="separate"/>
      </w:r>
      <w:r>
        <w:t>18</w:t>
      </w:r>
      <w:r>
        <w:fldChar w:fldCharType="end"/>
      </w:r>
      <w:r>
        <w:fldChar w:fldCharType="end"/>
      </w:r>
    </w:p>
    <w:p w14:paraId="278F8EE8">
      <w:pPr>
        <w:pStyle w:val="8"/>
        <w:tabs>
          <w:tab w:val="right" w:leader="dot" w:pos="8306"/>
        </w:tabs>
      </w:pPr>
      <w:r>
        <w:fldChar w:fldCharType="begin"/>
      </w:r>
      <w:r>
        <w:instrText xml:space="preserve"> HYPERLINK \l _Toc1711696013 </w:instrText>
      </w:r>
      <w:r>
        <w:fldChar w:fldCharType="separate"/>
      </w:r>
      <w:r>
        <w:rPr>
          <w:rFonts w:ascii="黑体" w:hAnsi="黑体" w:eastAsia="黑体" w:cs="黑体"/>
        </w:rPr>
        <w:t>4.6 可行性分析</w:t>
      </w:r>
      <w:r>
        <w:tab/>
      </w:r>
      <w:r>
        <w:fldChar w:fldCharType="begin"/>
      </w:r>
      <w:r>
        <w:instrText xml:space="preserve"> PAGEREF _Toc1711696013 \h </w:instrText>
      </w:r>
      <w:r>
        <w:fldChar w:fldCharType="separate"/>
      </w:r>
      <w:r>
        <w:t>20</w:t>
      </w:r>
      <w:r>
        <w:fldChar w:fldCharType="end"/>
      </w:r>
      <w:r>
        <w:fldChar w:fldCharType="end"/>
      </w:r>
    </w:p>
    <w:p w14:paraId="75D09AA4">
      <w:pPr>
        <w:pStyle w:val="7"/>
        <w:tabs>
          <w:tab w:val="right" w:leader="dot" w:pos="8306"/>
        </w:tabs>
      </w:pPr>
      <w:r>
        <w:fldChar w:fldCharType="begin"/>
      </w:r>
      <w:r>
        <w:instrText xml:space="preserve"> HYPERLINK \l _Toc783955279 </w:instrText>
      </w:r>
      <w:r>
        <w:fldChar w:fldCharType="separate"/>
      </w:r>
      <w:r>
        <w:rPr>
          <w:rFonts w:ascii="黑体" w:hAnsi="黑体" w:eastAsia="黑体" w:cs="黑体"/>
        </w:rPr>
        <w:t>5．进度安排，预期达到的目标</w:t>
      </w:r>
      <w:r>
        <w:tab/>
      </w:r>
      <w:r>
        <w:fldChar w:fldCharType="begin"/>
      </w:r>
      <w:r>
        <w:instrText xml:space="preserve"> PAGEREF _Toc783955279 \h </w:instrText>
      </w:r>
      <w:r>
        <w:fldChar w:fldCharType="separate"/>
      </w:r>
      <w:r>
        <w:t>20</w:t>
      </w:r>
      <w:r>
        <w:fldChar w:fldCharType="end"/>
      </w:r>
      <w:r>
        <w:fldChar w:fldCharType="end"/>
      </w:r>
    </w:p>
    <w:p w14:paraId="5F025851">
      <w:pPr>
        <w:pStyle w:val="8"/>
        <w:tabs>
          <w:tab w:val="right" w:leader="dot" w:pos="8306"/>
        </w:tabs>
      </w:pPr>
      <w:r>
        <w:fldChar w:fldCharType="begin"/>
      </w:r>
      <w:r>
        <w:instrText xml:space="preserve"> HYPERLINK \l _Toc1124199808 </w:instrText>
      </w:r>
      <w:r>
        <w:fldChar w:fldCharType="separate"/>
      </w:r>
      <w:r>
        <w:rPr>
          <w:rFonts w:ascii="黑体" w:hAnsi="黑体" w:eastAsia="黑体" w:cs="黑体"/>
        </w:rPr>
        <w:t>5.1 进度安排</w:t>
      </w:r>
      <w:r>
        <w:tab/>
      </w:r>
      <w:r>
        <w:fldChar w:fldCharType="begin"/>
      </w:r>
      <w:r>
        <w:instrText xml:space="preserve"> PAGEREF _Toc1124199808 \h </w:instrText>
      </w:r>
      <w:r>
        <w:fldChar w:fldCharType="separate"/>
      </w:r>
      <w:r>
        <w:t>20</w:t>
      </w:r>
      <w:r>
        <w:fldChar w:fldCharType="end"/>
      </w:r>
      <w:r>
        <w:fldChar w:fldCharType="end"/>
      </w:r>
    </w:p>
    <w:p w14:paraId="0EB07FFF">
      <w:pPr>
        <w:pStyle w:val="8"/>
        <w:tabs>
          <w:tab w:val="right" w:leader="dot" w:pos="8306"/>
        </w:tabs>
      </w:pPr>
      <w:r>
        <w:fldChar w:fldCharType="begin"/>
      </w:r>
      <w:r>
        <w:instrText xml:space="preserve"> HYPERLINK \l _Toc865046750 </w:instrText>
      </w:r>
      <w:r>
        <w:fldChar w:fldCharType="separate"/>
      </w:r>
      <w:r>
        <w:rPr>
          <w:rFonts w:ascii="黑体" w:hAnsi="黑体" w:eastAsia="黑体" w:cs="黑体"/>
        </w:rPr>
        <w:t>5.2 预期达到的目标</w:t>
      </w:r>
      <w:r>
        <w:tab/>
      </w:r>
      <w:r>
        <w:fldChar w:fldCharType="begin"/>
      </w:r>
      <w:r>
        <w:instrText xml:space="preserve"> PAGEREF _Toc865046750 \h </w:instrText>
      </w:r>
      <w:r>
        <w:fldChar w:fldCharType="separate"/>
      </w:r>
      <w:r>
        <w:t>21</w:t>
      </w:r>
      <w:r>
        <w:fldChar w:fldCharType="end"/>
      </w:r>
      <w:r>
        <w:fldChar w:fldCharType="end"/>
      </w:r>
    </w:p>
    <w:p w14:paraId="687EAF59">
      <w:pPr>
        <w:pStyle w:val="7"/>
        <w:tabs>
          <w:tab w:val="right" w:leader="dot" w:pos="8306"/>
        </w:tabs>
      </w:pPr>
      <w:r>
        <w:fldChar w:fldCharType="begin"/>
      </w:r>
      <w:r>
        <w:instrText xml:space="preserve"> HYPERLINK \l _Toc376437060 </w:instrText>
      </w:r>
      <w:r>
        <w:fldChar w:fldCharType="separate"/>
      </w:r>
      <w:r>
        <w:rPr>
          <w:rFonts w:ascii="黑体" w:hAnsi="黑体" w:eastAsia="黑体" w:cs="黑体"/>
        </w:rPr>
        <w:t>6．课题已具备和所需的条件、经费</w:t>
      </w:r>
      <w:r>
        <w:tab/>
      </w:r>
      <w:r>
        <w:fldChar w:fldCharType="begin"/>
      </w:r>
      <w:r>
        <w:instrText xml:space="preserve"> PAGEREF _Toc376437060 \h </w:instrText>
      </w:r>
      <w:r>
        <w:fldChar w:fldCharType="separate"/>
      </w:r>
      <w:r>
        <w:t>22</w:t>
      </w:r>
      <w:r>
        <w:fldChar w:fldCharType="end"/>
      </w:r>
      <w:r>
        <w:fldChar w:fldCharType="end"/>
      </w:r>
    </w:p>
    <w:p w14:paraId="4677B6B7">
      <w:pPr>
        <w:pStyle w:val="8"/>
        <w:tabs>
          <w:tab w:val="right" w:leader="dot" w:pos="8306"/>
        </w:tabs>
      </w:pPr>
      <w:r>
        <w:fldChar w:fldCharType="begin"/>
      </w:r>
      <w:r>
        <w:instrText xml:space="preserve"> HYPERLINK \l _Toc290843358 </w:instrText>
      </w:r>
      <w:r>
        <w:fldChar w:fldCharType="separate"/>
      </w:r>
      <w:r>
        <w:rPr>
          <w:rFonts w:ascii="黑体" w:hAnsi="黑体" w:eastAsia="黑体" w:cs="黑体"/>
        </w:rPr>
        <w:t>6.1 已具备条件</w:t>
      </w:r>
      <w:r>
        <w:tab/>
      </w:r>
      <w:r>
        <w:fldChar w:fldCharType="begin"/>
      </w:r>
      <w:r>
        <w:instrText xml:space="preserve"> PAGEREF _Toc290843358 \h </w:instrText>
      </w:r>
      <w:r>
        <w:fldChar w:fldCharType="separate"/>
      </w:r>
      <w:r>
        <w:t>22</w:t>
      </w:r>
      <w:r>
        <w:fldChar w:fldCharType="end"/>
      </w:r>
      <w:r>
        <w:fldChar w:fldCharType="end"/>
      </w:r>
    </w:p>
    <w:p w14:paraId="628AB64D">
      <w:pPr>
        <w:pStyle w:val="8"/>
        <w:tabs>
          <w:tab w:val="right" w:leader="dot" w:pos="8306"/>
        </w:tabs>
      </w:pPr>
      <w:r>
        <w:fldChar w:fldCharType="begin"/>
      </w:r>
      <w:r>
        <w:instrText xml:space="preserve"> HYPERLINK \l _Toc531537334 </w:instrText>
      </w:r>
      <w:r>
        <w:fldChar w:fldCharType="separate"/>
      </w:r>
      <w:r>
        <w:rPr>
          <w:rFonts w:ascii="黑体" w:hAnsi="黑体" w:eastAsia="黑体" w:cs="黑体"/>
        </w:rPr>
        <w:t>6.2 所需条件</w:t>
      </w:r>
      <w:r>
        <w:tab/>
      </w:r>
      <w:r>
        <w:fldChar w:fldCharType="begin"/>
      </w:r>
      <w:r>
        <w:instrText xml:space="preserve"> PAGEREF _Toc531537334 \h </w:instrText>
      </w:r>
      <w:r>
        <w:fldChar w:fldCharType="separate"/>
      </w:r>
      <w:r>
        <w:t>22</w:t>
      </w:r>
      <w:r>
        <w:fldChar w:fldCharType="end"/>
      </w:r>
      <w:r>
        <w:fldChar w:fldCharType="end"/>
      </w:r>
    </w:p>
    <w:p w14:paraId="14CBD5B1">
      <w:pPr>
        <w:pStyle w:val="8"/>
        <w:tabs>
          <w:tab w:val="right" w:leader="dot" w:pos="8306"/>
        </w:tabs>
      </w:pPr>
      <w:r>
        <w:fldChar w:fldCharType="begin"/>
      </w:r>
      <w:r>
        <w:instrText xml:space="preserve"> HYPERLINK \l _Toc16001018 </w:instrText>
      </w:r>
      <w:r>
        <w:fldChar w:fldCharType="separate"/>
      </w:r>
      <w:r>
        <w:rPr>
          <w:rFonts w:ascii="黑体" w:hAnsi="黑体" w:eastAsia="黑体" w:cs="黑体"/>
        </w:rPr>
        <w:t>6.3 经费</w:t>
      </w:r>
      <w:r>
        <w:tab/>
      </w:r>
      <w:r>
        <w:fldChar w:fldCharType="begin"/>
      </w:r>
      <w:r>
        <w:instrText xml:space="preserve"> PAGEREF _Toc16001018 \h </w:instrText>
      </w:r>
      <w:r>
        <w:fldChar w:fldCharType="separate"/>
      </w:r>
      <w:r>
        <w:t>22</w:t>
      </w:r>
      <w:r>
        <w:fldChar w:fldCharType="end"/>
      </w:r>
      <w:r>
        <w:fldChar w:fldCharType="end"/>
      </w:r>
    </w:p>
    <w:p w14:paraId="28E59F96">
      <w:pPr>
        <w:pStyle w:val="7"/>
        <w:tabs>
          <w:tab w:val="right" w:leader="dot" w:pos="8306"/>
        </w:tabs>
      </w:pPr>
      <w:r>
        <w:fldChar w:fldCharType="begin"/>
      </w:r>
      <w:r>
        <w:instrText xml:space="preserve"> HYPERLINK \l _Toc493653651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_Toc493653651 \h </w:instrText>
      </w:r>
      <w:r>
        <w:fldChar w:fldCharType="separate"/>
      </w:r>
      <w:r>
        <w:t>24</w:t>
      </w:r>
      <w:r>
        <w:fldChar w:fldCharType="end"/>
      </w:r>
      <w:r>
        <w:fldChar w:fldCharType="end"/>
      </w:r>
    </w:p>
    <w:p w14:paraId="3DFB965B">
      <w:pPr>
        <w:pStyle w:val="7"/>
        <w:tabs>
          <w:tab w:val="right" w:leader="dot" w:pos="8306"/>
        </w:tabs>
      </w:pPr>
      <w:r>
        <w:fldChar w:fldCharType="begin"/>
      </w:r>
      <w:r>
        <w:instrText xml:space="preserve"> HYPERLINK \l _Toc1107583996 </w:instrText>
      </w:r>
      <w:r>
        <w:fldChar w:fldCharType="separate"/>
      </w:r>
      <w:r>
        <w:rPr>
          <w:rFonts w:ascii="黑体" w:hAnsi="黑体" w:eastAsia="黑体" w:cs="黑体"/>
        </w:rPr>
        <w:t>8．主要参考文献</w:t>
      </w:r>
      <w:r>
        <w:tab/>
      </w:r>
      <w:r>
        <w:fldChar w:fldCharType="begin"/>
      </w:r>
      <w:r>
        <w:instrText xml:space="preserve"> PAGEREF _Toc1107583996 \h </w:instrText>
      </w:r>
      <w:r>
        <w:fldChar w:fldCharType="separate"/>
      </w:r>
      <w:r>
        <w:t>25</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88311075"/>
      <w:r>
        <w:rPr>
          <w:rFonts w:ascii="黑体" w:hAnsi="黑体" w:eastAsia="黑体" w:cs="黑体"/>
          <w:b/>
          <w:color w:val="000000"/>
          <w:sz w:val="28"/>
        </w:rPr>
        <w:t>1．课题来源及研究的目的和意义</w:t>
      </w:r>
      <w:bookmarkEnd w:id="0"/>
    </w:p>
    <w:p w14:paraId="5244ADAC">
      <w:pPr>
        <w:pStyle w:val="3"/>
      </w:pPr>
      <w:bookmarkStart w:id="1" w:name="_Toc333037448"/>
      <w:r>
        <w:rPr>
          <w:rFonts w:ascii="黑体" w:hAnsi="黑体" w:eastAsia="黑体" w:cs="黑体"/>
          <w:b/>
          <w:color w:val="000000"/>
          <w:sz w:val="24"/>
        </w:rPr>
        <w:t>1.1 课题来源</w:t>
      </w:r>
      <w:bookmarkEnd w:id="1"/>
    </w:p>
    <w:p w14:paraId="0068B391">
      <w:pPr>
        <w:ind w:firstLine="420"/>
        <w:jc w:val="both"/>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14:paraId="4589AFE8">
      <w:pPr>
        <w:ind w:firstLine="420"/>
        <w:jc w:val="both"/>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14:paraId="38DF9D6D">
      <w:pPr>
        <w:pStyle w:val="3"/>
      </w:pPr>
      <w:bookmarkStart w:id="2" w:name="_Toc1018004454"/>
      <w:r>
        <w:rPr>
          <w:rFonts w:ascii="黑体" w:hAnsi="黑体" w:eastAsia="黑体" w:cs="黑体"/>
          <w:b/>
          <w:color w:val="000000"/>
          <w:sz w:val="24"/>
        </w:rPr>
        <w:t>1.2 研究背景</w:t>
      </w:r>
      <w:bookmarkEnd w:id="2"/>
    </w:p>
    <w:p w14:paraId="1E7E09AB">
      <w:pPr>
        <w:ind w:firstLine="420"/>
        <w:jc w:val="both"/>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14:paraId="4CD1AD20">
      <w:pPr>
        <w:ind w:firstLine="420"/>
        <w:jc w:val="both"/>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14:paraId="17F46F4A">
      <w:pPr>
        <w:ind w:firstLine="420"/>
        <w:jc w:val="both"/>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14:paraId="02610039">
      <w:pPr>
        <w:ind w:firstLine="420"/>
        <w:jc w:val="both"/>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14:paraId="7AD88161">
      <w:pPr>
        <w:ind w:firstLine="420"/>
        <w:jc w:val="both"/>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14:paraId="7D373851">
      <w:pPr>
        <w:pStyle w:val="3"/>
      </w:pPr>
      <w:bookmarkStart w:id="3" w:name="_Toc598642729"/>
      <w:r>
        <w:rPr>
          <w:rFonts w:ascii="黑体" w:hAnsi="黑体" w:eastAsia="黑体" w:cs="黑体"/>
          <w:b/>
          <w:color w:val="000000"/>
          <w:sz w:val="24"/>
        </w:rPr>
        <w:t>1.3 传统后训练方法的局限</w:t>
      </w:r>
      <w:bookmarkEnd w:id="3"/>
    </w:p>
    <w:p w14:paraId="671E03D8">
      <w:pPr>
        <w:ind w:firstLine="420"/>
        <w:jc w:val="both"/>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14:paraId="29AB85EA">
      <w:pPr>
        <w:ind w:firstLine="420"/>
        <w:jc w:val="both"/>
      </w:pPr>
      <w:r>
        <w:t>强化学习和偏好优化分别依赖环境奖励与回答偏好，训练信号均不同于本课题的 token 分布监督。因此，本课题把强化学习和偏好优化作为背景，不把它们的训练协议并入主比较。</w:t>
      </w:r>
    </w:p>
    <w:p w14:paraId="2F69CA9E">
      <w:pPr>
        <w:ind w:firstLine="420"/>
        <w:jc w:val="both"/>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14:paraId="0A73208C">
      <w:pPr>
        <w:pStyle w:val="3"/>
      </w:pPr>
      <w:bookmarkStart w:id="4" w:name="_Toc427460108"/>
      <w:r>
        <w:rPr>
          <w:rFonts w:ascii="黑体" w:hAnsi="黑体" w:eastAsia="黑体" w:cs="黑体"/>
          <w:b/>
          <w:color w:val="000000"/>
          <w:sz w:val="24"/>
        </w:rPr>
        <w:t>1.4 在线策略蒸馏的研究价值</w:t>
      </w:r>
      <w:bookmarkEnd w:id="4"/>
    </w:p>
    <w:p w14:paraId="40480C2B">
      <w:pPr>
        <w:ind w:firstLine="420"/>
        <w:jc w:val="both"/>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14:paraId="7C4751C1">
      <w:pPr>
        <w:ind w:firstLine="420"/>
        <w:jc w:val="both"/>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14:paraId="20DA6477">
      <w:pPr>
        <w:ind w:firstLine="420"/>
        <w:jc w:val="both"/>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14:paraId="48D0F5F1">
      <w:pPr>
        <w:ind w:firstLine="420"/>
        <w:jc w:val="both"/>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14:paraId="59356753">
      <w:pPr>
        <w:pStyle w:val="3"/>
      </w:pPr>
      <w:bookmarkStart w:id="5" w:name="_Toc989235941"/>
      <w:r>
        <w:rPr>
          <w:rFonts w:ascii="黑体" w:hAnsi="黑体" w:eastAsia="黑体" w:cs="黑体"/>
          <w:b/>
          <w:color w:val="000000"/>
          <w:sz w:val="24"/>
        </w:rPr>
        <w:t>1.5 研究目的和意义</w:t>
      </w:r>
      <w:bookmarkEnd w:id="5"/>
    </w:p>
    <w:p w14:paraId="58E876DD">
      <w:pPr>
        <w:ind w:firstLine="420"/>
        <w:jc w:val="both"/>
      </w:pPr>
      <w:r>
        <w:t>本课题的研究目的如下：</w:t>
      </w:r>
    </w:p>
    <w:p w14:paraId="6FA8B508">
      <w:pPr>
        <w:pStyle w:val="17"/>
        <w:ind w:firstLine="420"/>
        <w:jc w:val="left"/>
      </w:pPr>
      <w:r>
        <w:t>1. 梳理离线蒸馏、在线策略蒸馏、KL 散度和工具增强模型的研究脉络，明确 OPD 在 Function Calling 中的研究问题。</w:t>
      </w:r>
    </w:p>
    <w:p w14:paraId="6CEC8EBA">
      <w:pPr>
        <w:pStyle w:val="17"/>
        <w:ind w:firstLine="420"/>
        <w:jc w:val="left"/>
      </w:pPr>
      <w:r>
        <w:t>2. 在统一的 OPD 后训练流程下比较主要散度方向与监督信息粒度/估计方式，具体候选矩阵见第3、4节。</w:t>
      </w:r>
    </w:p>
    <w:p w14:paraId="1582C878">
      <w:pPr>
        <w:pStyle w:val="17"/>
        <w:ind w:firstLine="420"/>
        <w:jc w:val="left"/>
      </w:pPr>
      <w:r>
        <w:t>3. 从任务正确率、训练稳定性、分布变化和资源开销分析方法差异，并在 vLLM 或自建测试程序中测量推理吞吐、延迟和端到端调用成功率。</w:t>
      </w:r>
    </w:p>
    <w:p w14:paraId="1280B22F">
      <w:pPr>
        <w:ind w:firstLine="420"/>
        <w:jc w:val="both"/>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14:paraId="486FC300">
      <w:pPr>
        <w:pStyle w:val="2"/>
      </w:pPr>
      <w:bookmarkStart w:id="6" w:name="_Toc270065313"/>
      <w:r>
        <w:rPr>
          <w:rFonts w:ascii="黑体" w:hAnsi="黑体" w:eastAsia="黑体" w:cs="黑体"/>
          <w:b/>
          <w:color w:val="000000"/>
          <w:sz w:val="28"/>
        </w:rPr>
        <w:t>2．国内外在该方向的研究现状及分析</w:t>
      </w:r>
      <w:bookmarkEnd w:id="6"/>
    </w:p>
    <w:p w14:paraId="4756E8EE">
      <w:pPr>
        <w:pStyle w:val="3"/>
      </w:pPr>
      <w:bookmarkStart w:id="7" w:name="_Toc1354769480"/>
      <w:r>
        <w:rPr>
          <w:rFonts w:ascii="黑体" w:hAnsi="黑体" w:eastAsia="黑体" w:cs="黑体"/>
          <w:b/>
          <w:color w:val="000000"/>
          <w:sz w:val="24"/>
        </w:rPr>
        <w:t>2.1 大语言模型后训练和知识蒸馏</w:t>
      </w:r>
      <w:bookmarkEnd w:id="7"/>
    </w:p>
    <w:p w14:paraId="63C19B99">
      <w:pPr>
        <w:ind w:firstLine="420"/>
        <w:jc w:val="both"/>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14:paraId="79D4A854">
      <w:pPr>
        <w:ind w:firstLine="420"/>
        <w:jc w:val="both"/>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14:paraId="582869BE">
      <w:pPr>
        <w:ind w:firstLine="420"/>
        <w:jc w:val="both"/>
      </w:pPr>
      <w:r>
        <w:t>从训练状态和反馈来源看，可以将相关方法作如下区分：</w:t>
      </w:r>
    </w:p>
    <w:p w14:paraId="5A36676E">
      <w:pPr>
        <w:ind w:firstLine="420"/>
        <w:jc w:val="both"/>
      </w:pPr>
    </w:p>
    <w:p>
      <w:pPr>
        <w:keepNext/>
        <w:spacing w:before="80" w:after="80" w:line="240" w:lineRule="auto"/>
        <w:ind w:firstLine="0" w:left="0" w:right="0"/>
        <w:jc w:val="center"/>
      </w:pPr>
      <w:r/>
      <w:r>
        <w:rPr>
          <w:rFonts w:ascii="Times New Roman" w:hAnsi="Times New Roman" w:eastAsia="Songti SC"/>
          <w:sz w:val="21"/>
        </w:rPr>
        <w:t>表 2-1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 OPD 分布偏移问题的对照背景</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说明为什么要让教师观察学生前缀</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说明密集教师反馈与稀疏奖励的差异</w:t>
            </w:r>
          </w:p>
        </w:tc>
      </w:tr>
    </w:tbl>
    <w:p w14:paraId="43527EF3">
      <w:pPr>
        <w:ind w:firstLine="420" w:firstLineChars="0"/>
        <w:jc w:val="both"/>
      </w:pPr>
      <w:r>
        <w:t>实际系统可以先使用 SFT 再进行 OPD，也可以将教师反馈与任务奖励结合。本课题聚焦 LoRA-OPD 路线，主要研究学生策略采样、教师分布反馈、散度方向和监督信息粒度；RLHF、DPO 等其他后训练方法仅作为研究背景。</w:t>
      </w:r>
    </w:p>
    <w:p w14:paraId="0CA6A73A">
      <w:pPr>
        <w:spacing w:before="0" w:after="0" w:line="360" w:lineRule="auto"/>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14:paraId="4D703704">
      <w:pPr>
        <w:spacing w:before="0" w:after="0" w:line="360" w:lineRule="auto"/>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14:paraId="24D76E42">
      <w:pPr>
        <w:pStyle w:val="3"/>
      </w:pPr>
      <w:bookmarkStart w:id="8" w:name="_Toc1989024866"/>
      <w:r>
        <w:rPr>
          <w:rFonts w:ascii="黑体" w:hAnsi="黑体" w:eastAsia="黑体" w:cs="黑体"/>
          <w:b/>
          <w:color w:val="000000"/>
          <w:sz w:val="24"/>
        </w:rPr>
        <w:t>2.2 分布偏移与在线策略蒸馏</w:t>
      </w:r>
      <w:bookmarkEnd w:id="8"/>
    </w:p>
    <w:p w14:paraId="7027805E">
      <w:pPr>
        <w:ind w:firstLine="420"/>
        <w:jc w:val="both"/>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14:paraId="6D834263">
      <w:pPr>
        <w:ind w:firstLine="420"/>
        <w:jc w:val="both"/>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14:paraId="6F1DB8D0">
      <w:pPr>
        <w:ind w:firstLine="420"/>
        <w:jc w:val="both"/>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14:paraId="29B55A45">
      <w:pPr>
        <w:ind w:firstLine="420"/>
        <w:jc w:val="both"/>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14:paraId="4737EE54">
      <w:pPr>
        <w:ind w:firstLine="420"/>
        <w:jc w:val="both"/>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14:paraId="5333E2F1">
      <w:pPr>
        <w:spacing w:before="0" w:after="0" w:line="360" w:lineRule="auto"/>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14:paraId="2D5A62DC">
      <w:pPr>
        <w:spacing w:before="0" w:after="0" w:line="360" w:lineRule="auto"/>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14:paraId="6975A843">
      <w:pPr>
        <w:pStyle w:val="3"/>
      </w:pPr>
      <w:bookmarkStart w:id="9" w:name="_Toc1810473660"/>
      <w:r>
        <w:rPr>
          <w:rFonts w:ascii="黑体" w:hAnsi="黑体" w:eastAsia="黑体" w:cs="黑体"/>
          <w:b/>
          <w:color w:val="000000"/>
          <w:sz w:val="24"/>
        </w:rPr>
        <w:t>2.3 KL 散度方向与广义散度</w:t>
      </w:r>
      <w:bookmarkEnd w:id="9"/>
    </w:p>
    <w:p w14:paraId="696D2E03">
      <w:pPr>
        <w:ind w:firstLine="420"/>
        <w:jc w:val="both"/>
      </w:pPr>
      <w:r>
        <w:t>KL 散度的经典定义来自 Kullback 和 Leibler 的信息论研究[17]。令 p_T 和 p_S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14:paraId="5283D502">
      <w:pPr>
        <w:ind w:firstLine="420"/>
        <w:jc w:val="both"/>
      </w:pPr>
      <w:r>
        <w:t>广义散度用于在不同分布匹配偏好之间取得折中。Jensen-Shannon 散度通过教师分布与学生分布的混合分布定义，其形式为[18]：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广义散度部分主要分析 JSD、skew KL 等代表性目标，研究其在教师分布覆盖、学生高概率区域和训练稳定性方面的差异。实验配置统一记录目标函数形式、混合参数、支持集和 K1 估计方式。</w:t>
      </w:r>
    </w:p>
    <w:p w14:paraId="13AF46E7">
      <w:pPr>
        <w:ind w:firstLine="420"/>
        <w:jc w:val="both"/>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14:paraId="59F60855">
      <w:pPr>
        <w:ind w:firstLine="420"/>
        <w:jc w:val="both"/>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14:paraId="58810188">
      <w:pPr>
        <w:spacing w:before="0" w:after="0" w:line="360" w:lineRule="auto"/>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14:paraId="63D91097">
      <w:pPr>
        <w:spacing w:before="0" w:after="0" w:line="360" w:lineRule="auto"/>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14:paraId="423F288F">
      <w:pPr>
        <w:pStyle w:val="3"/>
      </w:pPr>
      <w:bookmarkStart w:id="10" w:name="_Toc935009277"/>
      <w:r>
        <w:rPr>
          <w:rFonts w:ascii="黑体" w:hAnsi="黑体" w:eastAsia="黑体" w:cs="黑体"/>
          <w:b/>
          <w:color w:val="000000"/>
          <w:sz w:val="24"/>
        </w:rPr>
        <w:t>2.4 监督信息粒度与资源效率</w:t>
      </w:r>
      <w:bookmarkEnd w:id="10"/>
    </w:p>
    <w:p w14:paraId="4D88B3D8">
      <w:pPr>
        <w:ind w:firstLine="420"/>
        <w:jc w:val="both"/>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14:paraId="4D26498B">
      <w:pPr>
        <w:ind w:firstLine="420"/>
        <w:jc w:val="both"/>
      </w:pPr>
      <w:r>
        <w:t>Qwen3 技术报告提供了模型家族的背景信息[16]。LoRA 通过低秩增量减少需要更新的参数量[19]，为小模型后训练提供了参数高效的实现路径。量化适配会引入新的资源变量，因此不纳入主要比较。</w:t>
      </w:r>
    </w:p>
    <w:p w14:paraId="7BE9DE7C">
      <w:pPr>
        <w:spacing w:before="0" w:after="0" w:line="360" w:lineRule="auto"/>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14:paraId="3028239A">
      <w:pPr>
        <w:spacing w:before="0" w:after="0" w:line="360" w:lineRule="auto"/>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14:paraId="2ED621A1">
      <w:pPr>
        <w:pStyle w:val="3"/>
      </w:pPr>
      <w:bookmarkStart w:id="11" w:name="_Toc1563073440"/>
      <w:r>
        <w:rPr>
          <w:rFonts w:ascii="黑体" w:hAnsi="黑体" w:eastAsia="黑体" w:cs="黑体"/>
          <w:b/>
          <w:color w:val="000000"/>
          <w:sz w:val="24"/>
        </w:rPr>
        <w:t>2.5 Function Calling 数据与评测研究</w:t>
      </w:r>
      <w:bookmarkEnd w:id="11"/>
    </w:p>
    <w:p w14:paraId="2320FC66">
      <w:pPr>
        <w:ind w:firstLine="420"/>
        <w:jc w:val="both"/>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14:paraId="41ED9722">
      <w:pPr>
        <w:ind w:firstLine="420"/>
        <w:jc w:val="both"/>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14:paraId="651AE3DD">
      <w:pPr>
        <w:ind w:firstLine="420"/>
        <w:jc w:val="both"/>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14:paraId="034FA389">
      <w:pPr>
        <w:ind w:firstLine="420"/>
        <w:jc w:val="both"/>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14:paraId="6145C566">
      <w:pPr>
        <w:ind w:firstLine="420"/>
        <w:jc w:val="both"/>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14:paraId="58E976CF">
      <w:pPr>
        <w:spacing w:before="0" w:after="0" w:line="360" w:lineRule="auto"/>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14:paraId="779437DC">
      <w:pPr>
        <w:pStyle w:val="2"/>
      </w:pPr>
      <w:bookmarkStart w:id="12" w:name="_Toc407852329"/>
      <w:r>
        <w:rPr>
          <w:rFonts w:ascii="黑体" w:hAnsi="黑体" w:eastAsia="黑体" w:cs="黑体"/>
          <w:b/>
          <w:color w:val="000000"/>
          <w:sz w:val="28"/>
        </w:rPr>
        <w:t>3．主要研究内容</w:t>
      </w:r>
      <w:bookmarkEnd w:id="12"/>
    </w:p>
    <w:p w14:paraId="7167A508">
      <w:pPr>
        <w:pStyle w:val="3"/>
      </w:pPr>
      <w:bookmarkStart w:id="13" w:name="_Toc6292279"/>
      <w:r>
        <w:rPr>
          <w:rFonts w:ascii="黑体" w:hAnsi="黑体" w:eastAsia="黑体" w:cs="黑体"/>
          <w:b/>
          <w:color w:val="000000"/>
          <w:sz w:val="24"/>
        </w:rPr>
        <w:t>3.1 统一的在线策略蒸馏研究流程</w:t>
      </w:r>
      <w:bookmarkEnd w:id="13"/>
    </w:p>
    <w:p w14:paraId="12EADE85">
      <w:pPr>
        <w:ind w:firstLine="420"/>
        <w:jc w:val="both"/>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14:paraId="3EBAB668">
      <w:pPr>
        <w:pStyle w:val="3"/>
      </w:pPr>
      <w:bookmarkStart w:id="14" w:name="_Toc527634450"/>
      <w:r>
        <w:rPr>
          <w:rFonts w:ascii="黑体" w:hAnsi="黑体" w:eastAsia="黑体" w:cs="黑体"/>
          <w:b/>
          <w:color w:val="000000"/>
          <w:sz w:val="24"/>
        </w:rPr>
        <w:t>3.2 三类散度目标</w:t>
      </w:r>
      <w:bookmarkEnd w:id="14"/>
    </w:p>
    <w:p w14:paraId="673FAEE9">
      <w:pPr>
        <w:ind w:firstLine="420"/>
        <w:jc w:val="both"/>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14:paraId="60FC92F0">
      <w:pPr>
        <w:pStyle w:val="3"/>
      </w:pPr>
      <w:bookmarkStart w:id="15" w:name="_Toc992222687"/>
      <w:r>
        <w:rPr>
          <w:rFonts w:ascii="黑体" w:hAnsi="黑体" w:eastAsia="黑体" w:cs="黑体"/>
          <w:b/>
          <w:color w:val="000000"/>
          <w:sz w:val="24"/>
        </w:rPr>
        <w:t>3.3 三种监督信息粒度/估计方式</w:t>
      </w:r>
      <w:bookmarkEnd w:id="15"/>
    </w:p>
    <w:p w14:paraId="4F2557E3">
      <w:pPr>
        <w:ind w:firstLine="420"/>
        <w:jc w:val="both"/>
      </w:pPr>
      <w:r>
        <w:t>研究内容二是统一比较三种监督信息粒度/估计方式：</w:t>
      </w:r>
    </w:p>
    <w:p w14:paraId="640A89EA">
      <w:pPr>
        <w:pStyle w:val="17"/>
        <w:ind w:firstLine="420"/>
        <w:jc w:val="left"/>
      </w:pPr>
      <w:r>
        <w:t xml:space="preserve">• </w:t>
      </w:r>
      <w:r>
        <w:rPr>
          <w:b/>
        </w:rPr>
        <w:t>全词表：</w:t>
      </w:r>
      <w:r>
        <w:t xml:space="preserve"> 使用教师完整词表分布进行比较，作为信息完整的参照。</w:t>
      </w:r>
    </w:p>
    <w:p w14:paraId="4EFC209D">
      <w:pPr>
        <w:pStyle w:val="17"/>
        <w:ind w:firstLine="420"/>
        <w:jc w:val="left"/>
      </w:pPr>
      <w:r>
        <w:t xml:space="preserve">• </w:t>
      </w:r>
      <w:r>
        <w:rPr>
          <w:b/>
        </w:rPr>
        <w:t>Top-K：</w:t>
      </w:r>
      <w:r>
        <w:t xml:space="preserve"> 使用指定支持集中的教师高概率 token，考察压缩教师反馈后的效果与资源变化。</w:t>
      </w:r>
    </w:p>
    <w:p w14:paraId="1B3DFD7F">
      <w:pPr>
        <w:pStyle w:val="17"/>
        <w:ind w:firstLine="420"/>
        <w:jc w:val="left"/>
      </w:pPr>
      <w:r>
        <w:t>• K1 sampled-token：从教师分布采样一个 token，对相应期望进行单样本估计，并分析其估计方差；该方法与 Top-1 argmax 硬标签监督分别记录。</w:t>
      </w:r>
    </w:p>
    <w:p w14:paraId="3A0B4D9F">
      <w:pPr>
        <w:ind w:firstLine="420"/>
        <w:jc w:val="both"/>
      </w:pPr>
      <w:r>
        <w:t>Top-K 统一规定支持集构造、归一化和支持集外概率处理，K1 统一规定 proposal、梯度估计和随机种子管理。比较内容包括 Function Calling 的格式、函数选择、参数与执行结果，以及训练稳定性和资源开销。</w:t>
      </w:r>
    </w:p>
    <w:p w14:paraId="205E7875">
      <w:pPr>
        <w:pStyle w:val="3"/>
      </w:pPr>
      <w:bookmarkStart w:id="16" w:name="_Toc1076181454"/>
      <w:r>
        <w:rPr>
          <w:rFonts w:ascii="黑体" w:hAnsi="黑体" w:eastAsia="黑体" w:cs="黑体"/>
          <w:b/>
          <w:color w:val="000000"/>
          <w:sz w:val="24"/>
        </w:rPr>
        <w:t>3.4 LoRA 后训练与教师—学生关系</w:t>
      </w:r>
      <w:bookmarkEnd w:id="16"/>
    </w:p>
    <w:p w14:paraId="29B0CF71">
      <w:pPr>
        <w:ind w:firstLine="420"/>
        <w:jc w:val="both"/>
      </w:pPr>
      <w:r>
        <w:t>LoRA 将基座权重写为低秩增量形式[19]：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14:paraId="4B847B83">
      <w:pPr>
        <w:ind w:firstLine="420"/>
        <w:jc w:val="both"/>
      </w:pPr>
      <w:r>
        <w:t>LoRA 用于控制可训练参数规模，使多个蒸馏方案从相同的学生基座出发。实验分别记录 LoRA adapter 的保存、加载与合并方式，以及部署后端中的加载配置，从而区分训练参数变化和服务加载方式带来的影响。</w:t>
      </w:r>
    </w:p>
    <w:p w14:paraId="5A4303B3">
      <w:pPr>
        <w:pStyle w:val="3"/>
      </w:pPr>
      <w:bookmarkStart w:id="17" w:name="_Toc1274422344"/>
      <w:r>
        <w:rPr>
          <w:rFonts w:ascii="黑体" w:hAnsi="黑体" w:eastAsia="黑体" w:cs="黑体"/>
          <w:b/>
          <w:color w:val="000000"/>
          <w:sz w:val="24"/>
        </w:rPr>
        <w:t>3.5 Function Calling 评测与推理性能分析</w:t>
      </w:r>
      <w:bookmarkEnd w:id="17"/>
    </w:p>
    <w:p w14:paraId="4EAA3AD5">
      <w:pPr>
        <w:ind w:firstLine="420"/>
        <w:jc w:val="both"/>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14:paraId="1FCC2348">
      <w:pPr>
        <w:pStyle w:val="3"/>
      </w:pPr>
      <w:bookmarkStart w:id="18" w:name="_Toc214440430"/>
      <w:r>
        <w:rPr>
          <w:rFonts w:ascii="黑体" w:hAnsi="黑体" w:eastAsia="黑体" w:cs="黑体"/>
          <w:b/>
          <w:color w:val="000000"/>
          <w:sz w:val="24"/>
        </w:rPr>
        <w:t>3.6 研究问题</w:t>
      </w:r>
      <w:bookmarkEnd w:id="18"/>
    </w:p>
    <w:p w14:paraId="22062AA4">
      <w:pPr>
        <w:ind w:firstLine="420"/>
        <w:jc w:val="both"/>
      </w:pPr>
      <w:r>
        <w:t>本课题将回答以下问题：</w:t>
      </w:r>
    </w:p>
    <w:p w14:paraId="4CBECB2D">
      <w:pPr>
        <w:pStyle w:val="17"/>
        <w:ind w:firstLine="420"/>
        <w:jc w:val="left"/>
      </w:pPr>
      <w:r>
        <w:t>1. 在 Qwen3 Function Calling 条件下，三类散度是否表现出可解释的工具选择、参数生成或格式差异？</w:t>
      </w:r>
    </w:p>
    <w:p w14:paraId="1B0E1F7E">
      <w:pPr>
        <w:pStyle w:val="17"/>
        <w:ind w:firstLine="420"/>
        <w:jc w:val="left"/>
      </w:pPr>
      <w:r>
        <w:t>2. 全词表、Top-K 和 K1 在效果、稳定性和教师反馈开销之间如何权衡？</w:t>
      </w:r>
    </w:p>
    <w:p w14:paraId="0D13CECE">
      <w:pPr>
        <w:pStyle w:val="17"/>
        <w:ind w:firstLine="420"/>
        <w:jc w:val="left"/>
      </w:pPr>
      <w:r>
        <w:t>3. 支持集外 token、前缀偏移、熵变化和格式错误能否解释 Top-K/K1 的失败模式？</w:t>
      </w:r>
    </w:p>
    <w:p w14:paraId="7665B72E">
      <w:pPr>
        <w:pStyle w:val="17"/>
        <w:ind w:firstLine="420"/>
        <w:jc w:val="left"/>
      </w:pPr>
      <w:r>
        <w:t>4. 不同蒸馏目标在任务正确率、训练效率和推理性能上的变化是否一致？</w:t>
      </w:r>
    </w:p>
    <w:p w14:paraId="68D892AB">
      <w:pPr>
        <w:ind w:firstLine="420"/>
        <w:jc w:val="both"/>
      </w:pPr>
      <w:r>
        <w:t>上述研究问题构成实验设计、结果分析和论文讨论的主线。</w:t>
      </w:r>
    </w:p>
    <w:p w14:paraId="45BFC255">
      <w:pPr>
        <w:pStyle w:val="3"/>
      </w:pPr>
      <w:bookmarkStart w:id="19" w:name="_Toc622747344"/>
      <w:r>
        <w:rPr>
          <w:rFonts w:ascii="黑体" w:hAnsi="黑体" w:eastAsia="黑体" w:cs="黑体"/>
          <w:b/>
          <w:color w:val="000000"/>
          <w:sz w:val="24"/>
        </w:rPr>
        <w:t>3.7 各研究内容之间的关系</w:t>
      </w:r>
      <w:bookmarkEnd w:id="19"/>
    </w:p>
    <w:p w14:paraId="7D3140CD">
      <w:pPr>
        <w:ind w:firstLine="420"/>
        <w:jc w:val="both"/>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14:paraId="2017B723">
      <w:pPr>
        <w:ind w:firstLine="420"/>
        <w:jc w:val="both"/>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14:paraId="575D3309">
      <w:pPr>
        <w:pStyle w:val="2"/>
      </w:pPr>
      <w:bookmarkStart w:id="20" w:name="_Toc1826798777"/>
      <w:r>
        <w:rPr>
          <w:rFonts w:ascii="黑体" w:hAnsi="黑体" w:eastAsia="黑体" w:cs="黑体"/>
          <w:b/>
          <w:color w:val="000000"/>
          <w:sz w:val="28"/>
        </w:rPr>
        <w:t>4．研究方案</w:t>
      </w:r>
      <w:bookmarkEnd w:id="20"/>
    </w:p>
    <w:p w14:paraId="1076D32B">
      <w:pPr>
        <w:pStyle w:val="3"/>
      </w:pPr>
      <w:bookmarkStart w:id="21" w:name="_Toc433343880"/>
      <w:r>
        <w:rPr>
          <w:rFonts w:ascii="黑体" w:hAnsi="黑体" w:eastAsia="黑体" w:cs="黑体"/>
          <w:b/>
          <w:color w:val="000000"/>
          <w:sz w:val="24"/>
        </w:rPr>
        <w:t>4.1 总体技术路线</w:t>
      </w:r>
      <w:bookmarkEnd w:id="21"/>
    </w:p>
    <w:p w14:paraId="7703D721">
      <w:pPr>
        <w:spacing w:before="0" w:after="0" w:line="360" w:lineRule="auto"/>
        <w:ind w:firstLine="420"/>
        <w:jc w:val="both"/>
      </w:pPr>
      <w:r>
        <w:rPr>
          <w:rFonts w:ascii="Times New Roman" w:hAnsi="Times New Roman" w:eastAsia="宋体"/>
          <w:sz w:val="24"/>
        </w:rPr>
        <w:t>研究总体技术路线如图 1 所示。</w:t>
      </w:r>
    </w:p>
    <w:p w14:paraId="01318956">
      <w:pPr>
        <w:ind w:firstLine="420"/>
        <w:jc w:val="both"/>
      </w:pPr>
      <w:r>
        <w:t>总体路线由模型与数据准备、SFT 基线、在线策略蒸馏、统一评测和结果分析组成。实验配置记录模型版本、数据版本、损失定义、支持集协议、训练参数和评测脚本。</w:t>
      </w:r>
    </w:p>
    <w:p w14:paraId="7804E4EE">
      <w:pPr>
        <w:ind w:firstLine="420"/>
        <w:jc w:val="both"/>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图 1  研究总体技术路线</w:t>
      </w:r>
    </w:p>
    <w:p w14:paraId="51D0960D">
      <w:pPr>
        <w:pStyle w:val="3"/>
      </w:pPr>
      <w:bookmarkStart w:id="22" w:name="_Toc1093544183"/>
      <w:r>
        <w:rPr>
          <w:rFonts w:ascii="黑体" w:hAnsi="黑体" w:eastAsia="黑体" w:cs="黑体"/>
          <w:b/>
          <w:color w:val="000000"/>
          <w:sz w:val="24"/>
        </w:rPr>
        <w:t>4.2 模型和数据准备</w:t>
      </w:r>
      <w:bookmarkEnd w:id="22"/>
    </w:p>
    <w:p w14:paraId="51F515C2">
      <w:pPr>
        <w:ind w:firstLine="420"/>
        <w:jc w:val="both"/>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14:paraId="33260523">
      <w:pPr>
        <w:ind w:firstLine="420"/>
        <w:jc w:val="both"/>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14:paraId="1EA2CC71">
      <w:pPr>
        <w:ind w:firstLine="420"/>
        <w:jc w:val="both"/>
      </w:pPr>
      <w:r>
        <w:t>数据审计重点处理三类异常：schema 语法错误、参数标签与用户意图不一致、工具返回缺失或格式不统一。评测器保存原始样本、规范化样本和失败原因，并对自动规则进行抽样复核。</w:t>
      </w:r>
    </w:p>
    <w:p w14:paraId="681BB8C6">
      <w:pPr>
        <w:pStyle w:val="3"/>
      </w:pPr>
      <w:bookmarkStart w:id="23" w:name="_Toc1032032655"/>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在线策略蒸馏的训练、反馈与评测关系如图 2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p>
      <w:pPr>
        <w:keepNext/>
        <w:spacing w:before="80" w:after="80" w:line="240" w:lineRule="auto"/>
        <w:ind w:firstLine="0" w:left="0" w:right="0"/>
        <w:jc w:val="center"/>
      </w:pPr>
      <w:r/>
      <w:r>
        <w:rPr>
          <w:rFonts w:ascii="Times New Roman" w:hAnsi="Times New Roman" w:eastAsia="Songti SC"/>
          <w:sz w:val="21"/>
        </w:rPr>
        <w:t>表 4-1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学生前缀、教师模型和 token 对齐</w:t>
            </w:r>
          </w:p>
        </w:tc>
        <w:tc>
          <w:tcPr>
            <w:tcW w:w="4148" w:type="dxa"/>
          </w:tcPr>
          <w:p w14:paraId="35BEDF60">
            <w:pPr>
              <w:ind w:firstLine="0"/>
              <w:jc w:val="left"/>
            </w:pPr>
            <w:r>
              <w:t>反馈粒度、支持集、教师计算量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散度、梯度处理、异常 loss</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函数、参数、执行和端到端调用结果</w:t>
            </w:r>
          </w:p>
        </w:tc>
      </w:tr>
    </w:tbl>
    <w:p w14:paraId="1A4B1F6D">
      <w:pPr>
        <w:ind w:firstLine="420"/>
        <w:jc w:val="both"/>
      </w:pPr>
      <w:r>
        <w:t>所有方法共享数据读取、学生 rollout、教师评分和指标记录接口，保证不同对照组只改变目标函数或监督信息粒度。</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图 2  在线策略蒸馏训练与性能评测流程</w:t>
      </w:r>
    </w:p>
    <w:p w14:paraId="5E2DE293">
      <w:pPr>
        <w:pStyle w:val="3"/>
      </w:pPr>
      <w:bookmarkStart w:id="24" w:name="_Toc147415766"/>
      <w:r>
        <w:rPr>
          <w:rFonts w:ascii="黑体" w:hAnsi="黑体" w:eastAsia="黑体" w:cs="黑体"/>
          <w:b/>
          <w:color w:val="000000"/>
          <w:sz w:val="24"/>
        </w:rPr>
        <w:t>4.4 损失与监督信息粒度/估计方式的定义原则</w:t>
      </w:r>
      <w:bookmarkEnd w:id="24"/>
    </w:p>
    <w:p w14:paraId="01830904">
      <w:pPr>
        <w:ind w:firstLine="420"/>
        <w:jc w:val="both"/>
      </w:pPr>
      <w:r>
        <w:t>在全词表和 Top-K 的分布形式下，令 p_T 和 p_S 分别表示教师与学生在有效位置的概率分布，通用 token 级目标可以写为：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表示由消息、工具边界和响应位置共同确定的有效 token 掩码。概率计算采用 log-sum-exp、概率下界和混合精度控制避免数值溢出。K1 sampled-token 使用单独定义的采样估计器，并记录随机种子与估计方差。</w:t>
      </w:r>
    </w:p>
    <w:p w14:paraId="32BF1A8F">
      <w:pPr>
        <w:ind w:firstLine="420"/>
        <w:jc w:val="both"/>
      </w:pPr>
      <w:r>
        <w:t>监督信息粒度与散度目标的比较矩阵如下：</w:t>
      </w:r>
    </w:p>
    <w:p>
      <w:pPr>
        <w:keepNext/>
        <w:spacing w:before="80" w:after="80" w:line="240" w:lineRule="auto"/>
        <w:ind w:firstLine="0" w:left="0" w:right="0"/>
        <w:jc w:val="center"/>
      </w:pPr>
      <w:r/>
      <w:r>
        <w:rPr>
          <w:rFonts w:ascii="Times New Roman" w:hAnsi="Times New Roman" w:eastAsia="Songti SC"/>
          <w:sz w:val="21"/>
        </w:rPr>
        <w:t>表 4-2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完整分布对照</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比较矩阵覆盖三类目标函数和三种监督方案。各实验使用统一的数据、训练预算和评测协议，并在配置中记录损失形式、K 值、支持集、重归一化、K1 proposal、梯度估计和数值精度。</w:t>
      </w:r>
    </w:p>
    <w:p w14:paraId="7D429E15">
      <w:pPr>
        <w:ind w:firstLine="420"/>
        <w:jc w:val="both"/>
      </w:pPr>
      <w:r>
        <w:t>三种监督方案和广义散度的名称定义如下：</w:t>
      </w:r>
    </w:p>
    <w:p w14:paraId="03436525">
      <w:pPr>
        <w:pStyle w:val="17"/>
        <w:ind w:firstLine="420"/>
        <w:jc w:val="left"/>
      </w:pPr>
      <w:r>
        <w:t>• “全词表”表示教师完整输出在规定有效位置上参与分布匹配；工程实现可采用分块计算或流式处理。</w:t>
      </w:r>
    </w:p>
    <w:p w14:paraId="1E71EBD7">
      <w:pPr>
        <w:pStyle w:val="17"/>
        <w:ind w:firstLine="420"/>
        <w:jc w:val="left"/>
      </w:pPr>
      <w:r>
        <w:t>• “Top-K”表示使用明确的高概率 token 支持集，并记录支持集来源、重归一化和支持集外概率处理。</w:t>
      </w:r>
    </w:p>
    <w:p w14:paraId="2A2D1311">
      <w:pPr>
        <w:pStyle w:val="17"/>
        <w:ind w:firstLine="420"/>
        <w:jc w:val="left"/>
      </w:pPr>
      <w:r>
        <w:t>• “K1 sampled-token”表示每个位置使用一个采样 token 估计相应期望，与选择最大概率 token 的硬标签方法分开记录。</w:t>
      </w:r>
    </w:p>
    <w:p w14:paraId="718B00F7">
      <w:pPr>
        <w:pStyle w:val="17"/>
        <w:ind w:firstLine="420"/>
        <w:jc w:val="left"/>
      </w:pPr>
      <w:r>
        <w:t>• “广义散度”分析 JSD、skew KL 等代表性目标，并在实验配置中记录具体公式、混合参数和梯度计算规则。</w:t>
      </w:r>
    </w:p>
    <w:p w14:paraId="4DC19C45">
      <w:pPr>
        <w:ind w:firstLine="420"/>
        <w:jc w:val="both"/>
      </w:pPr>
      <w:r>
        <w:t>师生词表、token 边界和特殊 token 需要保持可对齐。正式训练前通过 tokenizer 单元测试、模板回环测试和小批量损失/梯度测试验证对数概率、Mask、padding 和梯度传播的正确性。</w:t>
      </w:r>
    </w:p>
    <w:p w14:paraId="264AD57D">
      <w:pPr>
        <w:pStyle w:val="3"/>
      </w:pPr>
      <w:bookmarkStart w:id="25" w:name="_Toc1568134171"/>
      <w:r>
        <w:rPr>
          <w:rFonts w:ascii="黑体" w:hAnsi="黑体" w:eastAsia="黑体" w:cs="黑体"/>
          <w:b/>
          <w:color w:val="000000"/>
          <w:sz w:val="24"/>
        </w:rPr>
        <w:t>4.5 评价指标和公平性</w:t>
      </w:r>
      <w:bookmarkEnd w:id="25"/>
    </w:p>
    <w:p w14:paraId="1E75A657">
      <w:pPr>
        <w:ind w:firstLine="420"/>
        <w:jc w:val="both"/>
      </w:pPr>
      <w:r>
        <w:t>评价指标分为任务效果、训练稳定性、分布与误差分析、资源与部署四类：</w:t>
      </w:r>
    </w:p>
    <w:p>
      <w:pPr>
        <w:keepNext/>
        <w:spacing w:before="80" w:after="80" w:line="240" w:lineRule="auto"/>
        <w:ind w:firstLine="0" w:left="0" w:right="0"/>
        <w:jc w:val="center"/>
      </w:pPr>
      <w:r/>
      <w:r>
        <w:rPr>
          <w:rFonts w:ascii="Times New Roman" w:hAnsi="Times New Roman" w:eastAsia="Songti SC"/>
          <w:sz w:val="21"/>
        </w:rPr>
        <w:t>表 4-3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JSON/结构化格式合法性、函数名、参数键和值、schema 通过率、调用执行成功率、端到端任务完成率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overlap、支持集外比例、非法输出和重复率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14:paraId="7C90D5F1">
      <w:pPr>
        <w:ind w:firstLine="420"/>
        <w:jc w:val="both"/>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14:paraId="2CC9EDD0">
      <w:pPr>
        <w:ind w:firstLine="420"/>
        <w:jc w:val="both"/>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14:paraId="2386798F">
      <w:pPr>
        <w:ind w:firstLine="420"/>
        <w:jc w:val="both"/>
      </w:pPr>
      <w:r>
        <w:t>结果分析报告完整训练曲线、验证与测试统计、重复运行波动和资源消耗。失败案例按照工具选择、结构解析、参数字段、参数值、上下文和执行环节分类，并比较不同散度和监督方案的错误分布。</w:t>
      </w:r>
    </w:p>
    <w:p w14:paraId="56ED6E07">
      <w:pPr>
        <w:pStyle w:val="3"/>
      </w:pPr>
      <w:bookmarkStart w:id="26" w:name="_Toc1711696013"/>
      <w:r>
        <w:rPr>
          <w:rFonts w:ascii="黑体" w:hAnsi="黑体" w:eastAsia="黑体" w:cs="黑体"/>
          <w:b/>
          <w:color w:val="000000"/>
          <w:sz w:val="24"/>
        </w:rPr>
        <w:t>4.6 可行性分析</w:t>
      </w:r>
      <w:bookmarkEnd w:id="26"/>
    </w:p>
    <w:p w14:paraId="40E26365">
      <w:pPr>
        <w:ind w:firstLine="420"/>
        <w:jc w:val="both"/>
      </w:pPr>
      <w:r>
        <w:t>Qwen3-0.6B 学生、Qwen3-4B 教师和 LoRA 后训练构成可实施的模型组合，PyTorch、Transformers、PEFT 与 vLLM 提供训练和部署基础。研究采用由小规模验证到正式实验的渐进方式，在固定模型、数据、接口和评测规则后逐步扩大训练规模，因此具备明确的实现路径与验证条件。</w:t>
      </w:r>
    </w:p>
    <w:p w14:paraId="6CC957E8">
      <w:pPr>
        <w:pStyle w:val="2"/>
      </w:pPr>
      <w:bookmarkStart w:id="27" w:name="_Toc783955279"/>
      <w:r>
        <w:rPr>
          <w:rFonts w:ascii="黑体" w:hAnsi="黑体" w:eastAsia="黑体" w:cs="黑体"/>
          <w:b/>
          <w:color w:val="000000"/>
          <w:sz w:val="28"/>
        </w:rPr>
        <w:t>5．进度安排，预期达到的目标</w:t>
      </w:r>
      <w:bookmarkEnd w:id="27"/>
    </w:p>
    <w:p w14:paraId="4D67942D">
      <w:pPr>
        <w:pStyle w:val="3"/>
      </w:pPr>
      <w:bookmarkStart w:id="28" w:name="_Toc1124199808"/>
      <w:r>
        <w:rPr>
          <w:rFonts w:ascii="黑体" w:hAnsi="黑体" w:eastAsia="黑体" w:cs="黑体"/>
          <w:b/>
          <w:color w:val="000000"/>
          <w:sz w:val="24"/>
        </w:rPr>
        <w:t>5.1 进度安排</w:t>
      </w:r>
      <w:bookmarkEnd w:id="28"/>
    </w:p>
    <w:p w14:paraId="6BE2C5CE">
      <w:pPr>
        <w:spacing w:before="0" w:after="0" w:line="360" w:lineRule="auto"/>
        <w:ind w:firstLine="420"/>
        <w:jc w:val="both"/>
      </w:pPr>
      <w:r>
        <w:rPr>
          <w:rFonts w:ascii="Times New Roman" w:hAnsi="Times New Roman" w:eastAsia="宋体"/>
          <w:sz w:val="24"/>
        </w:rPr>
        <w:t>本课题自 2026 年 9 月开题申请起，至 2027 年 5 月结题申请与答辩结束，按实际培养环节组织实施。开题申请时间为 2026 年 9 月 14 日至 9 月 30 日，中期申请预计在 2027 年 3 月，结题申请与答辩预计在 2027 年 5 月。进度安排如图 3 和表 5-1 所示。</w:t>
      </w:r>
    </w:p>
    <w:p>
      <w:pPr>
        <w:keepNext/>
        <w:spacing w:before="80" w:after="80" w:line="240" w:lineRule="auto"/>
        <w:ind w:firstLine="0" w:left="0" w:right="0"/>
        <w:jc w:val="center"/>
      </w:pPr>
      <w:r/>
      <w:r>
        <w:rPr>
          <w:rFonts w:ascii="Times New Roman" w:hAnsi="Times New Roman" w:eastAsia="Songti SC"/>
          <w:sz w:val="21"/>
        </w:rPr>
        <w:t>表 5-1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完成开题材料修改与提交；明确研究问题、模型组合、数据范围、实验变量、评价指标和复现要求。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继续文献调研；筛选公开 Function Calling 数据，完成去重、切分和字段映射；审计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接口和统一评测脚本；通过小规模试运行确定上下文长度、批大小与精度配置。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在统一数据、训练预算和生成协议下启动主要对照实验；完成训练链路、阶段性结果和资源记录，并于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完成主要组合、必要重复实验与消融；搭建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图 3  项目总体进度安排</w:t>
      </w:r>
    </w:p>
    <w:p w14:paraId="13935738">
      <w:pPr>
        <w:ind w:firstLine="420"/>
        <w:jc w:val="both"/>
      </w:pPr>
      <w:r>
        <w:t>进度安排覆盖 2026 年 9 月至 2027 年 5 月。2026 年内重点完成开题、数据准备、兼容性审计和训练管线实现；2027 年 2 月起开展正式实验，并在 3 月中期申请前形成阶段性结果；随后完成补充实验、部署评测和统计分析，4—5 月集中完成论文、结题和答辩材料。</w:t>
      </w:r>
    </w:p>
    <w:p w14:paraId="2E4BC355">
      <w:pPr>
        <w:pStyle w:val="3"/>
      </w:pPr>
      <w:bookmarkStart w:id="29" w:name="_Toc865046750"/>
      <w:r>
        <w:rPr>
          <w:rFonts w:ascii="黑体" w:hAnsi="黑体" w:eastAsia="黑体" w:cs="黑体"/>
          <w:b/>
          <w:color w:val="000000"/>
          <w:sz w:val="24"/>
        </w:rPr>
        <w:t>5.2 预期达到的目标</w:t>
      </w:r>
      <w:bookmarkEnd w:id="29"/>
    </w:p>
    <w:p w14:paraId="5C45F9E1">
      <w:pPr>
        <w:pStyle w:val="17"/>
        <w:ind w:firstLine="420"/>
        <w:jc w:val="left"/>
      </w:pPr>
      <w:r>
        <w:t>1. 完成 Qwen3-0.6B 学生的 LoRA 在线策略蒸馏研究流程，使用冻结的 Qwen3-4B 作为教师。</w:t>
      </w:r>
    </w:p>
    <w:p w14:paraId="661280AE">
      <w:pPr>
        <w:pStyle w:val="17"/>
        <w:ind w:firstLine="420"/>
        <w:jc w:val="left"/>
      </w:pPr>
      <w:r>
        <w:t>2. 在公开 Function Calling 数据上比较 Forward KL、Reverse KL、广义散度，以及全词表、Top-K、K1 sampled-token。</w:t>
      </w:r>
    </w:p>
    <w:p w14:paraId="4D24F9B5">
      <w:pPr>
        <w:pStyle w:val="17"/>
        <w:ind w:firstLine="420"/>
        <w:jc w:val="left"/>
      </w:pPr>
      <w:r>
        <w:t>3. 建立分层评测方法，分别分析格式、函数选择、参数生成、调用执行和端到端任务完成情况。</w:t>
      </w:r>
    </w:p>
    <w:p w14:paraId="444409D5">
      <w:pPr>
        <w:pStyle w:val="17"/>
        <w:ind w:firstLine="420"/>
        <w:jc w:val="left"/>
      </w:pPr>
      <w:r>
        <w:t>4. 记录不同方法的训练稳定性、教师反馈量、训练资源和部署表现。</w:t>
      </w:r>
    </w:p>
    <w:p w14:paraId="1F6068D2">
      <w:pPr>
        <w:pStyle w:val="17"/>
        <w:ind w:firstLine="420"/>
        <w:jc w:val="left"/>
      </w:pPr>
      <w:r>
        <w:t>5. 通过 vLLM 或自建测试程序完成最终模型验证，形成任务性能、训练资源和推理性能的对比结果。</w:t>
      </w:r>
    </w:p>
    <w:p w14:paraId="34BA0ABE">
      <w:pPr>
        <w:pStyle w:val="17"/>
        <w:ind w:firstLine="420"/>
        <w:jc w:val="left"/>
      </w:pPr>
      <w:r>
        <w:t>6. 形成中文项目文档、实验记录、毕业论文和答辩材料。</w:t>
      </w:r>
    </w:p>
    <w:p w14:paraId="11B7E0CE">
      <w:pPr>
        <w:ind w:firstLine="420"/>
        <w:jc w:val="both"/>
      </w:pPr>
      <w:r>
        <w:t>本课题的预期成果包括一套定义清晰的 OPD 方法与训练流程、一份公开数据和模型版本记录、一组能够解释方法差异的实验指标，以及一个可重复调用的最终测试流程。</w:t>
      </w:r>
    </w:p>
    <w:p w14:paraId="629A1AD4">
      <w:pPr>
        <w:pStyle w:val="2"/>
      </w:pPr>
      <w:bookmarkStart w:id="30" w:name="_Toc376437060"/>
      <w:r>
        <w:rPr>
          <w:rFonts w:ascii="黑体" w:hAnsi="黑体" w:eastAsia="黑体" w:cs="黑体"/>
          <w:b/>
          <w:color w:val="000000"/>
          <w:sz w:val="28"/>
        </w:rPr>
        <w:t>6．课题已具备和所需的条件、经费</w:t>
      </w:r>
      <w:bookmarkEnd w:id="30"/>
    </w:p>
    <w:p w14:paraId="15508BCB">
      <w:pPr>
        <w:pStyle w:val="3"/>
      </w:pPr>
      <w:bookmarkStart w:id="31" w:name="_Toc290843358"/>
      <w:r>
        <w:rPr>
          <w:rFonts w:ascii="黑体" w:hAnsi="黑体" w:eastAsia="黑体" w:cs="黑体"/>
          <w:b/>
          <w:color w:val="000000"/>
          <w:sz w:val="24"/>
        </w:rPr>
        <w:t>6.1 已具备条件</w:t>
      </w:r>
      <w:bookmarkEnd w:id="31"/>
    </w:p>
    <w:p w14:paraId="27E56054">
      <w:pPr>
        <w:ind w:firstLine="420"/>
        <w:jc w:val="both"/>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14:paraId="649F9E8B">
      <w:pPr>
        <w:pStyle w:val="3"/>
      </w:pPr>
      <w:bookmarkStart w:id="32" w:name="_Toc531537334"/>
      <w:r>
        <w:rPr>
          <w:rFonts w:ascii="黑体" w:hAnsi="黑体" w:eastAsia="黑体" w:cs="黑体"/>
          <w:b/>
          <w:color w:val="000000"/>
          <w:sz w:val="24"/>
        </w:rPr>
        <w:t>6.2 所需条件</w:t>
      </w:r>
      <w:bookmarkEnd w:id="32"/>
    </w:p>
    <w:p w14:paraId="246A73AD">
      <w:pPr>
        <w:ind w:firstLine="420"/>
        <w:jc w:val="both"/>
      </w:pPr>
      <w:r>
        <w:t>软件环境包括 Python、PyTorch、Transformers、PEFT、Datasets 和 vLLM，硬件环境需支持 Qwen3-4B 教师推理、Qwen3-0.6B 学生 rollout 和 LoRA 更新。实验将根据可用显存配置序列长度、批量大小、梯度累积、混合精度和教师输出缓存。</w:t>
      </w:r>
    </w:p>
    <w:p w14:paraId="56F2417D">
      <w:pPr>
        <w:pStyle w:val="3"/>
      </w:pPr>
      <w:bookmarkStart w:id="33" w:name="_Toc16001018"/>
      <w:r>
        <w:rPr>
          <w:rFonts w:ascii="黑体" w:hAnsi="黑体" w:eastAsia="黑体" w:cs="黑体"/>
          <w:b/>
          <w:color w:val="000000"/>
          <w:sz w:val="24"/>
        </w:rPr>
        <w:t>6.3 经费</w:t>
      </w:r>
      <w:bookmarkEnd w:id="33"/>
    </w:p>
    <w:p w14:paraId="31301070">
      <w:pPr>
        <w:spacing w:before="0" w:after="0" w:line="360" w:lineRule="auto"/>
        <w:ind w:firstLine="420"/>
        <w:jc w:val="both"/>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14:paraId="646AF9F9">
      <w:pPr>
        <w:keepNext/>
        <w:spacing w:before="80" w:after="80" w:line="240" w:lineRule="auto"/>
        <w:ind w:firstLine="0" w:left="0" w:right="0"/>
        <w:jc w:val="center"/>
      </w:pPr>
      <w:r/>
      <w:r>
        <w:rPr>
          <w:rFonts w:ascii="Times New Roman" w:hAnsi="Times New Roman" w:eastAsia="Songti SC"/>
          <w:sz w:val="21"/>
        </w:rPr>
        <w:t>表 6-1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训练、多组合对照和必要重复实验</w:t>
            </w:r>
            <w:r>
              <w:rPr>
                <w:rFonts w:hint="eastAsia"/>
                <w:b w:val="0"/>
                <w:sz w:val="17"/>
                <w:lang w:eastAsia="zh-CN"/>
              </w:rPr>
              <w:t>，</w:t>
            </w:r>
            <w:r>
              <w:rPr>
                <w:rFonts w:hint="eastAsia"/>
                <w:b w:val="0"/>
                <w:sz w:val="17"/>
                <w:lang w:val="en-US" w:eastAsia="zh-CN"/>
              </w:rPr>
              <w:t>预计使用</w:t>
            </w:r>
            <w:r>
              <w:rPr>
                <w:rFonts w:hint="default"/>
                <w:b w:val="0"/>
                <w:sz w:val="17"/>
                <w:lang w:val="en-US" w:eastAsia="zh-CN"/>
              </w:rPr>
              <w:t>NVIDIA GeForce RTX 5090 32G</w:t>
            </w:r>
            <w:r>
              <w:rPr>
                <w:rFonts w:hint="eastAsia"/>
                <w:b w:val="0"/>
                <w:sz w:val="17"/>
                <w:lang w:val="en-US" w:eastAsia="zh-CN"/>
              </w:rPr>
              <w:t>训练</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w:t>
            </w:r>
            <w:r>
              <w:rPr>
                <w:rFonts w:hint="default"/>
                <w:b w:val="0"/>
                <w:sz w:val="17"/>
                <w:lang w:val="en-US"/>
              </w:rPr>
              <w:t>,</w:t>
            </w:r>
            <w:r>
              <w:rPr>
                <w:rFonts w:hint="eastAsia"/>
                <w:b w:val="0"/>
                <w:sz w:val="17"/>
                <w:lang w:val="en-US" w:eastAsia="zh-CN"/>
              </w:rPr>
              <w:t>预计费率</w:t>
            </w:r>
            <w:r>
              <w:rPr>
                <w:rFonts w:hint="default"/>
                <w:b w:val="0"/>
                <w:sz w:val="17"/>
                <w:lang w:val="en-US" w:eastAsia="zh-CN"/>
              </w:rPr>
              <w:t>8</w:t>
            </w:r>
            <w:r>
              <w:rPr>
                <w:rFonts w:hint="eastAsia"/>
                <w:b w:val="0"/>
                <w:sz w:val="17"/>
                <w:lang w:val="en-US" w:eastAsia="zh-CN"/>
              </w:rPr>
              <w:t>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1000</w:t>
            </w:r>
          </w:p>
        </w:tc>
        <w:tc>
          <w:tcPr>
            <w:tcW w:w="2076" w:type="dxa"/>
            <w:vAlign w:val="center"/>
          </w:tcPr>
          <w:p w14:paraId="3475160D">
            <w:pPr>
              <w:spacing w:before="0" w:after="0" w:line="240" w:lineRule="auto"/>
              <w:ind w:firstLine="0"/>
              <w:jc w:val="center"/>
            </w:pPr>
          </w:p>
        </w:tc>
        <w:tc>
          <w:tcPr>
            <w:tcW w:w="2076" w:type="dxa"/>
            <w:vAlign w:val="center"/>
          </w:tcPr>
          <w:p w14:paraId="4887EE35">
            <w:pPr>
              <w:spacing w:before="0" w:after="0" w:line="240" w:lineRule="auto"/>
              <w:ind w:firstLine="0"/>
              <w:jc w:val="center"/>
            </w:pPr>
          </w:p>
        </w:tc>
      </w:tr>
    </w:tbl>
    <w:p w14:paraId="15A9EA17">
      <w:pPr>
        <w:pStyle w:val="2"/>
        <w:pageBreakBefore/>
      </w:pPr>
      <w:bookmarkStart w:id="34" w:name="_Toc493653651"/>
      <w:r>
        <w:rPr>
          <w:rFonts w:ascii="黑体" w:hAnsi="黑体" w:eastAsia="黑体" w:cs="黑体"/>
          <w:b/>
          <w:color w:val="000000"/>
          <w:sz w:val="28"/>
        </w:rPr>
        <w:t>7．研究过程中可能遇到的困难和问题，解决的措施</w:t>
      </w:r>
      <w:bookmarkEnd w:id="34"/>
    </w:p>
    <w:p w14:paraId="2A5C30F9">
      <w:pPr>
        <w:ind w:firstLine="420"/>
        <w:jc w:val="both"/>
      </w:pPr>
      <w:r>
        <w:t>本课题可能遇到的困难集中在数据与接口、蒸馏估计、训练资源和部署评测四个方面，主要问题及解决措施如下：</w:t>
      </w:r>
    </w:p>
    <w:p>
      <w:pPr>
        <w:keepNext/>
        <w:spacing w:before="80" w:after="80" w:line="240" w:lineRule="auto"/>
        <w:ind w:firstLine="0" w:left="0" w:right="0"/>
        <w:jc w:val="center"/>
      </w:pPr>
      <w:r/>
      <w:r>
        <w:rPr>
          <w:rFonts w:ascii="Times New Roman" w:hAnsi="Times New Roman" w:eastAsia="Songti SC"/>
          <w:sz w:val="21"/>
        </w:rPr>
        <w:t>表 7-1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比较全词表、Top-K、K1 的反馈量，采用分块计算、缓存和梯度累积控制资源开销。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记录支持集外比例、熵和异常 loss；稳定化扩展只在主方案可运行后考虑。</w:t>
            </w:r>
          </w:p>
        </w:tc>
      </w:tr>
      <w:tr w14:paraId="7831A88A">
        <w:tc>
          <w:tcPr>
            <w:tcW w:w="4148" w:type="dxa"/>
          </w:tcPr>
          <w:p w14:paraId="273AF66C">
            <w:pPr>
              <w:ind w:firstLine="0"/>
              <w:jc w:val="left"/>
            </w:pPr>
            <w:r>
              <w:t>数据格式、许可证或训练测试泄漏</w:t>
            </w:r>
          </w:p>
        </w:tc>
        <w:tc>
          <w:tcPr>
            <w:tcW w:w="4148" w:type="dxa"/>
          </w:tcPr>
          <w:p w14:paraId="654FCD3D">
            <w:pPr>
              <w:ind w:firstLine="0"/>
              <w:jc w:val="left"/>
            </w:pPr>
            <w:r>
              <w:t>核验数据卡和许可证，去重并隔离测试集，保存版本和过滤规则。</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或自建测试程序的版本、加载方式和测量参数。</w:t>
            </w:r>
          </w:p>
        </w:tc>
      </w:tr>
    </w:tbl>
    <w:p w14:paraId="7661A5B1">
      <w:pPr>
        <w:ind w:firstLine="420"/>
        <w:jc w:val="both"/>
      </w:pPr>
      <w:r>
        <w:t>实施过程中，训练前完成数据、模型、tokenizer 和消息模板审计；采用短序列验证、小批量训练、梯度累积、混合精度、教师输出缓存和分块计算控制资源开销；为全词表、Top-K 和 K1 规定统一的支持集、采样与 Mask 协议，并保存异常 loss、非法结构和失败工具调用的可追溯样本。</w:t>
      </w:r>
    </w:p>
    <w:p w14:paraId="59D0F03A">
      <w:pPr>
        <w:ind w:firstLine="420"/>
        <w:jc w:val="both"/>
      </w:pPr>
      <w:r>
        <w:t>实验日志按照数据与接口、蒸馏估计、训练资源和部署评测四类记录问题；评测结果分层报告格式解析、函数选择、参数生成、工具执行和端到端任务完成情况，使算法效果、资源成本与系统性能能够分别分析。</w:t>
      </w:r>
    </w:p>
    <w:p w14:paraId="1E1D72DA">
      <w:pPr>
        <w:ind w:firstLine="420"/>
        <w:jc w:val="both"/>
      </w:pPr>
      <w:r>
        <w:t>完成主要比较后，将进一步考察 Top-K 支持集修复和损失截断方法，包括师生高概率集合并集、残余概率质量保留和极端概率比裁剪，用于分析截断监督的稳定性。</w:t>
      </w:r>
    </w:p>
    <w:p w14:paraId="0874BB6A">
      <w:pPr>
        <w:pStyle w:val="2"/>
      </w:pPr>
      <w:bookmarkStart w:id="35" w:name="_Toc1107583996"/>
      <w:r>
        <w:rPr>
          <w:rFonts w:ascii="黑体" w:hAnsi="黑体" w:eastAsia="黑体" w:cs="黑体"/>
          <w:b/>
          <w:color w:val="000000"/>
          <w:sz w:val="28"/>
        </w:rPr>
        <w:t>8．主要参考文献</w:t>
      </w:r>
      <w:bookmarkEnd w:id="35"/>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Lu K, Thinking Machines Lab. On-Policy Distillation[EB/OL]. Thinking Machines Lab: Connectionism, 2025（技术博客）. DOI:10.64434/tml.20251026.</w:t>
      </w:r>
    </w:p>
    <w:p w14:paraId="23921927">
      <w:pPr>
        <w:pStyle w:val="17"/>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7"/>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7"/>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7"/>
        <w:numPr>
          <w:ilvl w:val="0"/>
          <w:numId w:val="1"/>
        </w:numPr>
        <w:ind w:firstLine="420"/>
        <w:jc w:val="left"/>
      </w:pPr>
      <w:r>
        <w:t>Zhu W, Xie R, Wang R, et al. Hybrid Policy Distillation for LLMs[EB/OL]. arXiv:2604.20244v2, 2026. DOI:10.48550/arXiv.2604.20244.</w:t>
      </w:r>
    </w:p>
    <w:p w14:paraId="319C7304">
      <w:pPr>
        <w:pStyle w:val="17"/>
        <w:numPr>
          <w:ilvl w:val="0"/>
          <w:numId w:val="1"/>
        </w:numPr>
        <w:ind w:firstLine="420"/>
        <w:jc w:val="left"/>
      </w:pPr>
      <w:r>
        <w:t>Song M, Zheng M. A Survey of On-Policy Distillation for Large Language Models[EB/OL]. arXiv:2604.00626v4, 2026. DOI:10.48550/arXiv.2604.00626.</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bookmarkEnd w:id="36"/>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6FFF75D6"/>
    <w:rsid w:val="71BE9EA7"/>
    <w:rsid w:val="D9FA0EC0"/>
    <w:rsid w:val="F77BC61A"/>
    <w:rsid w:val="FEBB3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735</Words>
  <Characters>4192</Characters>
  <Lines>34</Lines>
  <Paragraphs>9</Paragraphs>
  <TotalTime>3</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2022-10-10T10:38:00Z</dcterms:created>
  <dc:creator>董 睿璞</dc:creator>
  <cp:lastModifiedBy>Dr.Oppenheimer</cp:lastModifiedBy>
  <dcterms:modified xsi:type="dcterms:W3CDTF">2026-09-22T11:13:01Z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