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2011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姓名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</w:tcPr>
          <w:p w14:paraId="0B2795D2">
            <w:pPr>
              <w:jc w:val="left"/>
              <w:rPr>
                <w:b/>
              </w:rPr>
            </w:pPr>
            <w:r>
              <w:rPr>
                <w:rFonts w:hint="eastAsia" w:eastAsia="Noto Sans CJK SC"/>
                <w:b/>
              </w:rPr>
              <w:t>本学期工作计划：</w:t>
            </w:r>
          </w:p>
          <w:p w14:paraId="6286E376">
            <w:pPr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/>
                <w:b/>
              </w:rPr>
              <w:t>1、</w:t>
            </w:r>
          </w:p>
          <w:p w14:paraId="2D33A98B">
            <w:pPr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/>
                <w:b/>
                <w:lang w:val="en-US" w:eastAsia="zh-CN"/>
              </w:rPr>
              <w:t>2、</w:t>
            </w:r>
          </w:p>
          <w:p w14:paraId="14C7E136">
            <w:pPr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/>
                <w:b/>
                <w:lang w:val="en-US" w:eastAsia="zh-CN"/>
              </w:rPr>
              <w:t>3、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</w:tcPr>
          <w:p w14:paraId="3E4925B3">
            <w:pPr>
              <w:jc w:val="left"/>
              <w:rPr>
                <w:b/>
              </w:rPr>
            </w:pPr>
            <w:r>
              <w:rPr>
                <w:rFonts w:hint="eastAsia" w:eastAsia="Noto Sans CJK SC"/>
                <w:b/>
              </w:rPr>
              <w:t>工作周报</w:t>
            </w:r>
          </w:p>
          <w:p>
            <w:pPr>
              <w:spacing w:before="20" w:after="20" w:line="240" w:lineRule="auto"/>
              <w:jc w:val="left"/>
            </w:pPr>
            <w:r>
              <w:rPr>
                <w:rFonts w:eastAsia="Noto Sans CJK SC"/>
                <w:b/>
                <w:color w:val="9C0006"/>
                <w:sz w:val="18"/>
              </w:rPr>
              <w:t>模拟周报：工作进展为拟写内容，非实际完成记录；实验方案尚未执行。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</w:tcPr>
          <w:p w14:paraId="4E0A8BFF">
            <w:pPr>
              <w:ind w:firstLine="105" w:firstLineChars="50"/>
              <w:rPr>
                <w:b/>
              </w:rPr>
            </w:pPr>
            <w:r>
              <w:rPr>
                <w:rFonts w:hint="eastAsia" w:eastAsia="Noto Sans CJK SC"/>
                <w:b/>
              </w:rPr>
              <w:t>周数</w:t>
            </w:r>
          </w:p>
        </w:tc>
        <w:tc>
          <w:tcPr>
            <w:tcW w:w="1418" w:type="dxa"/>
          </w:tcPr>
          <w:p w14:paraId="1673F22E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日期起止</w:t>
            </w:r>
          </w:p>
        </w:tc>
        <w:tc>
          <w:tcPr>
            <w:tcW w:w="5032" w:type="dxa"/>
          </w:tcPr>
          <w:p w14:paraId="2E565FDD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本周工作计划</w:t>
            </w:r>
          </w:p>
        </w:tc>
        <w:tc>
          <w:tcPr>
            <w:tcW w:w="5032" w:type="dxa"/>
          </w:tcPr>
          <w:p w14:paraId="7FD9BCF5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本周执行情况</w:t>
            </w:r>
          </w:p>
        </w:tc>
        <w:tc>
          <w:tcPr>
            <w:tcW w:w="1701" w:type="dxa"/>
          </w:tcPr>
          <w:p w14:paraId="06FF2DF3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</w:tcPr>
          <w:p w14:paraId="76BA795C">
            <w:pPr>
              <w:keepNext w:val="0"/>
              <w:widowControl/>
              <w:spacing w:before="0" w:after="40" w:line="240" w:lineRule="auto"/>
              <w:jc w:val="center"/>
              <w:rPr>
                <w:b/>
              </w:rPr>
            </w:pPr>
            <w:r>
              <w:rPr>
                <w:rFonts w:eastAsia="Noto Sans CJK SC"/>
                <w:b/>
                <w:sz w:val="20"/>
              </w:rPr>
              <w:t>上周</w:t>
            </w:r>
          </w:p>
        </w:tc>
        <w:tc>
          <w:tcPr>
            <w:tcW w:w="1418" w:type="dxa"/>
            <w:vAlign w:val="top"/>
          </w:tcPr>
          <w:p w14:paraId="6362E449">
            <w:pPr>
              <w:keepNext w:val="0"/>
              <w:widowControl/>
              <w:spacing w:before="0" w:after="40" w:line="240" w:lineRule="auto"/>
              <w:jc w:val="center"/>
              <w:rPr>
                <w:b/>
              </w:rPr>
            </w:pPr>
            <w:r>
              <w:rPr>
                <w:rFonts w:eastAsia="Noto Sans CJK SC"/>
                <w:b w:val="0"/>
                <w:sz w:val="18"/>
              </w:rPr>
              <w:t>2026.10.19—10.25</w:t>
            </w:r>
          </w:p>
        </w:tc>
        <w:tc>
          <w:tcPr>
            <w:tcW w:w="5032" w:type="dxa"/>
            <w:vAlign w:val="top"/>
          </w:tcPr>
          <w:p w14:paraId="35BBF3A6">
            <w:pPr>
              <w:keepNext/>
              <w:widowControl/>
              <w:spacing w:before="0" w:after="40" w:line="240" w:lineRule="auto"/>
              <w:jc w:val="left"/>
              <w:rPr>
                <w:rFonts w:asciiTheme="minorEastAsia" w:hAnsiTheme="minorEastAsia"/>
                <w:b/>
                <w:sz w:val="18"/>
                <w:szCs w:val="18"/>
              </w:rPr>
            </w:pPr>
            <w:r>
              <w:rPr>
                <w:rFonts w:eastAsia="Noto Sans CJK SC"/>
                <w:b/>
                <w:sz w:val="20"/>
              </w:rPr>
              <w:t>上周工作情况（模拟）</w:t>
            </w:r>
          </w:p>
          <w:p>
            <w:pPr>
              <w:keepNext w:val="0"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围绕“基于在线策略蒸馏的大语言模型后训练方法研究”，开展基础文献梳理、研究问题细化和预实验方案设计。重点对比学生生成轨迹上的教师监督、不同散度目标的适用性，以及稀疏反馈带来的信息损失与开销变化。形成文献对比笔记、三个研究问题的任务清单和小规模验证草案。以上为模拟安排，不表示该周已经实际完成。</w:t>
            </w:r>
          </w:p>
        </w:tc>
        <w:tc>
          <w:tcPr>
            <w:tcW w:w="5032" w:type="dxa"/>
            <w:vAlign w:val="top"/>
          </w:tcPr>
          <w:p w14:paraId="0C30DC19">
            <w:pPr>
              <w:keepNext/>
              <w:widowControl/>
              <w:spacing w:before="0" w:after="4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eastAsia="Noto Sans CJK SC"/>
                <w:b/>
                <w:sz w:val="20"/>
              </w:rPr>
              <w:t>上周工作情况（模拟拟写）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/>
                <w:sz w:val="20"/>
              </w:rPr>
              <w:t>1. 文献阅读与比较。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（1）Agarwal等，On-Policy Distillation of Language Models: Learning from Self-Generated Mistakes，ICLR 2024，arXiv:2306.13649，https://arxiv.org/abs/2306.13649。GKD让学生生成输出，再由教师在这些前缀上提供概率监督，并允许采用不同散度目标，旨在缓解训练数据分布与推理时学生生成分布不一致的问题。对本课题的帮助：明确“学生采样—教师反馈—损失计算—参数更新”的基本流程，并把轨迹来源与散度选择作为两个独立比较因素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（2）Gu等，MiniLLM: Knowledge Distillation of Large Language Models，ICLR 2024，arXiv:2306.08543，https://arxiv.org/abs/2306.08543。该工作以反向KL替代传统正向KL，并设计相应的优化方法，减少学生对教师低概率区域的不合理拟合。对本课题的帮助：认识到正向与反向KL对分布匹配的侧重点不同；比较时应区分序列目标及其策略梯度估计与固定采样轨迹上的token损失，不能把同名反向KL直接视为相同训练算法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（3）Ko等，DistiLLM: Towards Streamlined Distillation for Large Language Models，ICML 2024，PMLR 235:24872–24895，https://proceedings.mlr.press/v235/ko24c.html。该方法结合偏斜KL损失与自适应离策略策略，提高学生生成数据的利用效率，针对蒸馏目标选择与在线采样成本问题开展研究。对本课题的帮助：比较质量时同步记录生成、教师查询和更新耗时，并将样本复用造成的数据陈旧程度纳入分析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2. 研究问题细化。将后续任务划分为决策状态与散度目标联合设计、决策感知稀疏反馈、统一测试系统三部分。状态指标先考虑教师熵、师生分歧和有效生成位置；这些指标仅是候选信号，不能直接等同于推理难度或决策重要性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3. 预实验设计。先用可控概率分布检查完整词表、Top-K重新归一化和Top-K加残余类别三种反馈。固定K=8、32、128作为候选比较点，观察保留概率质量、损失偏差、梯度偏差和存储量；K值为拟定配置，不是实测设置。残余类别只汇总尾部总质量，不能保留尾部内部排序，也不能据此宣称恢复完整词表KL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/>
                <w:sz w:val="20"/>
              </w:rPr>
              <w:t>4. 实验结果。</w:t>
            </w:r>
          </w:p>
          <w:p>
            <w:pPr>
              <w:keepNext w:val="0"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尚无实测结果。本周报不填写准确率提升、耗时降低等数值；目前仅形成验证方案，具体结论待运行后补充。</w:t>
            </w:r>
          </w:p>
        </w:tc>
        <w:tc>
          <w:tcPr>
            <w:tcW w:w="1701" w:type="dxa"/>
            <w:vAlign w:val="top"/>
          </w:tcPr>
          <w:p w14:paraId="25B7158D">
            <w:pPr>
              <w:keepNext w:val="0"/>
              <w:widowControl/>
              <w:spacing w:before="0" w:after="40" w:line="240" w:lineRule="auto"/>
              <w:jc w:val="left"/>
              <w:rPr>
                <w:b/>
                <w:szCs w:val="21"/>
              </w:rPr>
            </w:pPr>
            <w:r>
              <w:rPr>
                <w:rFonts w:eastAsia="Noto Sans CJK SC"/>
                <w:b w:val="0"/>
                <w:sz w:val="20"/>
              </w:rPr>
              <w:t>模拟稿未核实实际完成时间；GPU训练、基线复现及Top-K验证均待执行。文献方法与项目实验结果分别表述。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</w:tcPr>
          <w:p w14:paraId="03316EF6">
            <w:pPr>
              <w:keepNext w:val="0"/>
              <w:widowControl/>
              <w:spacing w:before="0" w:after="40" w:line="240" w:lineRule="auto"/>
              <w:jc w:val="center"/>
              <w:rPr>
                <w:b/>
              </w:rPr>
            </w:pPr>
            <w:r>
              <w:rPr>
                <w:rFonts w:eastAsia="Noto Sans CJK SC"/>
                <w:b/>
                <w:sz w:val="20"/>
              </w:rPr>
              <w:t>本周</w:t>
            </w:r>
          </w:p>
        </w:tc>
        <w:tc>
          <w:tcPr>
            <w:tcW w:w="1418" w:type="dxa"/>
            <w:vAlign w:val="top"/>
          </w:tcPr>
          <w:p w14:paraId="2EB787D7">
            <w:pPr>
              <w:keepNext w:val="0"/>
              <w:widowControl/>
              <w:spacing w:before="0" w:after="40" w:line="240" w:lineRule="auto"/>
              <w:jc w:val="center"/>
              <w:rPr>
                <w:b/>
              </w:rPr>
            </w:pPr>
            <w:r>
              <w:rPr>
                <w:rFonts w:eastAsia="Noto Sans CJK SC"/>
                <w:b w:val="0"/>
                <w:sz w:val="18"/>
              </w:rPr>
              <w:t>2026.10.26—11.01</w:t>
            </w:r>
          </w:p>
        </w:tc>
        <w:tc>
          <w:tcPr>
            <w:tcW w:w="5032" w:type="dxa"/>
            <w:vAlign w:val="top"/>
          </w:tcPr>
          <w:p w14:paraId="3F5CDA64">
            <w:pPr>
              <w:keepNext/>
              <w:widowControl/>
              <w:spacing w:before="0" w:after="4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eastAsia="Noto Sans CJK SC"/>
                <w:b/>
                <w:sz w:val="20"/>
              </w:rPr>
              <w:t>本周计划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1. 周一：整理GKD、MiniLLM、DistiLLM的输入、目标函数、采样方式、教师接口和计算成本，形成统一对比表；逐项标记论文已有结论与本课题待验证假设，补充关键公式的适用条件。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2. 周二：设计概率反馈与蒸馏损失接口，明确输入张量形状[B,T,V]、有效token掩码[B,T]、温度、教师冻结和学生梯度路径；规定Top-K索引、原始概率、尾部总质量与无效位置的处理方式，避免将截断概率误当完整分布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3. 周三：实现可控分布的小规模验证，覆盖均匀、尖峰和长尾分布；比较完整分布、Top-K重新归一化及残余类别方案。检查K=V时的一致性、K=1边界、极小概率、概率和、NaN/Inf及梯度传播；若未通过，不进入模型级比较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4. 周四：根据可用显存确认同系列教师与学生模型，Qwen3-0.6B与Qwen3-4B仅作候选，实际版本和配置另行记录。选取固定小样本与独立评估集合，打通学生生成、教师反馈、损失计算、一次更新和指标保存的最小闭环。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5. 周五：在同一学生、数据、优化器、学习率、有效token预算和生成配置下，比较固定正向KL、固定反向KL及候选加权目标。先完成可运行性检查，再决定是否开展正式对照；不得预设加权方案优于固定目标。</w:t>
            </w:r>
          </w:p>
          <w:p>
            <w:pPr>
              <w:keepNext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6. 周末：整理训练损失、任务指标、教师查询量、反馈数据量、峰值显存以及生成/教师前向/学生更新分项耗时。对异常样例保留原始输出与配置，形成问题清单和下一轮消融方案。</w:t>
            </w:r>
          </w:p>
          <w:p>
            <w:pPr>
              <w:keepNext w:val="0"/>
              <w:widowControl/>
              <w:spacing w:before="0" w:after="40" w:line="240" w:lineRule="auto"/>
              <w:jc w:val="left"/>
            </w:pPr>
            <w:r>
              <w:rPr>
                <w:rFonts w:eastAsia="Noto Sans CJK SC"/>
                <w:b w:val="0"/>
                <w:sz w:val="20"/>
              </w:rPr>
              <w:t>7. 预期交付：文献对比表、接口草案、概率分布验证脚本与结果文件、最小闭环运行记录、后续对照配置。正式结果记录Git提交、随机种子、模型版本、依赖及硬件环境；尚未完成的项目明确写“待实验验证”。</w:t>
            </w:r>
          </w:p>
        </w:tc>
        <w:tc>
          <w:tcPr>
            <w:tcW w:w="5032" w:type="dxa"/>
            <w:vAlign w:val="top"/>
          </w:tcPr>
          <w:p w14:paraId="5F2C1CE9">
            <w:pPr>
              <w:keepNext w:val="0"/>
              <w:widowControl/>
              <w:spacing w:before="0" w:after="40" w:line="240" w:lineRule="auto"/>
              <w:jc w:val="left"/>
              <w:rPr>
                <w:b/>
                <w:sz w:val="18"/>
                <w:szCs w:val="18"/>
              </w:rPr>
            </w:pPr>
            <w:r>
              <w:rPr>
                <w:rFonts w:eastAsia="Noto Sans CJK SC"/>
                <w:b w:val="0"/>
                <w:sz w:val="20"/>
              </w:rPr>
              <w:t>计划执行，尚未开始或完成状态待实际记录。验收依据：脚本能够复跑；关键数值与梯度检查通过；配置与原始结果可追溯；方法质量和资源开销分别报告。若算力不足，优先完成可控分布验证及接口测试，不以模拟数据替代真实训练结果。</w:t>
            </w:r>
          </w:p>
        </w:tc>
        <w:tc>
          <w:tcPr>
            <w:tcW w:w="1701" w:type="dxa"/>
            <w:vAlign w:val="top"/>
          </w:tcPr>
          <w:p w14:paraId="2AE2FA2C">
            <w:pPr>
              <w:keepNext w:val="0"/>
              <w:widowControl/>
              <w:spacing w:before="0" w:after="40" w:line="240" w:lineRule="auto"/>
              <w:jc w:val="left"/>
              <w:rPr>
                <w:szCs w:val="21"/>
              </w:rPr>
            </w:pPr>
            <w:r>
              <w:rPr>
                <w:rFonts w:eastAsia="Noto Sans CJK SC"/>
                <w:b w:val="0"/>
                <w:sz w:val="20"/>
              </w:rPr>
              <w:t>可能限制：算力与模型下载、教师反馈开销、不同反馈方案的公平预算。出现阻塞时记录具体原因，并调整本周工作量。</w:t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749240AE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3</w:t>
            </w:r>
          </w:p>
        </w:tc>
        <w:tc>
          <w:tcPr>
            <w:tcW w:w="1418" w:type="dxa"/>
          </w:tcPr>
          <w:p w14:paraId="39317EE7">
            <w:pPr>
              <w:jc w:val="center"/>
              <w:rPr>
                <w:b/>
              </w:rPr>
            </w:pPr>
          </w:p>
        </w:tc>
        <w:tc>
          <w:tcPr>
            <w:tcW w:w="5032" w:type="dxa"/>
          </w:tcPr>
          <w:p w14:paraId="653276C0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</w:tcPr>
          <w:p w14:paraId="74A44523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</w:tcPr>
          <w:p w14:paraId="3943F73C">
            <w:pPr>
              <w:jc w:val="left"/>
              <w:rPr>
                <w:b/>
                <w:szCs w:val="21"/>
              </w:rPr>
            </w:pP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34457C93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4</w:t>
            </w:r>
          </w:p>
        </w:tc>
        <w:tc>
          <w:tcPr>
            <w:tcW w:w="1418" w:type="dxa"/>
          </w:tcPr>
          <w:p w14:paraId="7910C2FC">
            <w:pPr>
              <w:jc w:val="center"/>
              <w:rPr>
                <w:b/>
              </w:rPr>
            </w:pPr>
          </w:p>
        </w:tc>
        <w:tc>
          <w:tcPr>
            <w:tcW w:w="5032" w:type="dxa"/>
          </w:tcPr>
          <w:p w14:paraId="0FDD5130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</w:tcPr>
          <w:p w14:paraId="6758787C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87145C">
            <w:pPr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353B91AD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5</w:t>
            </w:r>
          </w:p>
        </w:tc>
        <w:tc>
          <w:tcPr>
            <w:tcW w:w="1418" w:type="dxa"/>
          </w:tcPr>
          <w:p w14:paraId="6A62C7D1">
            <w:pPr>
              <w:jc w:val="center"/>
              <w:rPr>
                <w:b/>
              </w:rPr>
            </w:pPr>
          </w:p>
        </w:tc>
        <w:tc>
          <w:tcPr>
            <w:tcW w:w="5032" w:type="dxa"/>
          </w:tcPr>
          <w:p w14:paraId="4CC049CE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</w:tcPr>
          <w:p w14:paraId="3F5FB1B2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</w:tcPr>
          <w:p w14:paraId="7B02F9BF">
            <w:pPr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562BB4E2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6</w:t>
            </w:r>
          </w:p>
        </w:tc>
        <w:tc>
          <w:tcPr>
            <w:tcW w:w="1418" w:type="dxa"/>
          </w:tcPr>
          <w:p w14:paraId="67515FD8">
            <w:pPr>
              <w:jc w:val="center"/>
              <w:rPr>
                <w:b/>
              </w:rPr>
            </w:pPr>
          </w:p>
        </w:tc>
        <w:tc>
          <w:tcPr>
            <w:tcW w:w="5032" w:type="dxa"/>
          </w:tcPr>
          <w:p w14:paraId="6EE115CD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</w:tcPr>
          <w:p w14:paraId="1161BE04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</w:tcPr>
          <w:p w14:paraId="26F19B35">
            <w:pPr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624C538A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7</w:t>
            </w:r>
          </w:p>
        </w:tc>
        <w:tc>
          <w:tcPr>
            <w:tcW w:w="1418" w:type="dxa"/>
          </w:tcPr>
          <w:p w14:paraId="68B2303F">
            <w:pPr>
              <w:jc w:val="center"/>
              <w:rPr>
                <w:b/>
              </w:rPr>
            </w:pPr>
          </w:p>
        </w:tc>
        <w:tc>
          <w:tcPr>
            <w:tcW w:w="5032" w:type="dxa"/>
          </w:tcPr>
          <w:p w14:paraId="5C1DFF2D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</w:tcPr>
          <w:p w14:paraId="37E9FC30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8AFA5A">
            <w:pPr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010F5A4B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8</w:t>
            </w:r>
          </w:p>
        </w:tc>
        <w:tc>
          <w:tcPr>
            <w:tcW w:w="1418" w:type="dxa"/>
          </w:tcPr>
          <w:p w14:paraId="518FCD31">
            <w:pPr>
              <w:jc w:val="center"/>
              <w:rPr>
                <w:b/>
              </w:rPr>
            </w:pPr>
          </w:p>
        </w:tc>
        <w:tc>
          <w:tcPr>
            <w:tcW w:w="5032" w:type="dxa"/>
          </w:tcPr>
          <w:p w14:paraId="1C701256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</w:tcPr>
          <w:p w14:paraId="12535AB1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</w:tcPr>
          <w:p w14:paraId="3C7E3B1E">
            <w:pPr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2BC39624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9</w:t>
            </w:r>
          </w:p>
        </w:tc>
        <w:tc>
          <w:tcPr>
            <w:tcW w:w="1418" w:type="dxa"/>
          </w:tcPr>
          <w:p w14:paraId="45101198">
            <w:pPr>
              <w:jc w:val="center"/>
              <w:rPr>
                <w:b/>
              </w:rPr>
            </w:pPr>
          </w:p>
        </w:tc>
        <w:tc>
          <w:tcPr>
            <w:tcW w:w="5032" w:type="dxa"/>
          </w:tcPr>
          <w:p w14:paraId="69585F73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</w:tcPr>
          <w:p w14:paraId="4591E0C4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</w:tcPr>
          <w:p w14:paraId="389216A0">
            <w:pPr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 w14:paraId="704F5CF9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</w:rPr>
              <w:t>10</w:t>
            </w:r>
          </w:p>
        </w:tc>
        <w:tc>
          <w:tcPr>
            <w:tcW w:w="1418" w:type="dxa"/>
          </w:tcPr>
          <w:p w14:paraId="0DEEDEAF">
            <w:pPr>
              <w:jc w:val="center"/>
              <w:rPr>
                <w:b/>
              </w:rPr>
            </w:pPr>
          </w:p>
        </w:tc>
        <w:tc>
          <w:tcPr>
            <w:tcW w:w="5032" w:type="dxa"/>
          </w:tcPr>
          <w:p w14:paraId="76CD88A5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</w:tcPr>
          <w:p w14:paraId="641257F9">
            <w:pPr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</w:tcPr>
          <w:p w14:paraId="07BB6925">
            <w:pPr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</w:tcPr>
          <w:p w14:paraId="084936F0">
            <w:pPr>
              <w:jc w:val="left"/>
              <w:rPr>
                <w:b/>
                <w:szCs w:val="21"/>
              </w:rPr>
            </w:pPr>
            <w:r>
              <w:rPr>
                <w:rFonts w:hint="eastAsia" w:eastAsia="Noto Sans CJK SC"/>
                <w:b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/>
                <w:b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/>
                <w:b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/>
                <w:b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