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4E8FC">
      <w:pPr>
        <w:spacing w:before="78" w:after="78"/>
        <w:jc w:val="left"/>
        <w:rPr>
          <w:spacing w:val="40"/>
        </w:rPr>
      </w:pPr>
      <w:r>
        <w:rPr>
          <w:rFonts w:hint="eastAsia" w:hAnsi="宋体"/>
          <w:spacing w:val="40"/>
        </w:rPr>
        <w:t>附件</w:t>
      </w:r>
      <w:r>
        <w:rPr>
          <w:spacing w:val="40"/>
        </w:rPr>
        <w:t>2</w:t>
      </w:r>
      <w:r>
        <w:rPr>
          <w:rFonts w:hint="eastAsia" w:hAnsi="宋体"/>
          <w:spacing w:val="40"/>
        </w:rPr>
        <w:t>：</w:t>
      </w:r>
    </w:p>
    <w:p w14:paraId="1F9AC0F9">
      <w:pPr>
        <w:spacing w:before="78" w:after="78"/>
        <w:ind w:firstLine="883"/>
        <w:jc w:val="center"/>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2023110966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徐冰 </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71A58FCD">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_Toc88311075 </w:instrText>
      </w:r>
      <w:r>
        <w:fldChar w:fldCharType="separate"/>
      </w:r>
      <w:r>
        <w:rPr>
          <w:rFonts w:ascii="黑体" w:hAnsi="黑体" w:eastAsia="黑体" w:cs="黑体"/>
        </w:rPr>
        <w:t>1．课题来源及研究的目的和意义</w:t>
      </w:r>
      <w:r>
        <w:tab/>
      </w:r>
      <w:r>
        <w:fldChar w:fldCharType="begin"/>
      </w:r>
      <w:r>
        <w:instrText xml:space="preserve"> PAGEREF _Toc88311075 \h </w:instrText>
      </w:r>
      <w:r>
        <w:fldChar w:fldCharType="separate"/>
      </w:r>
      <w:r>
        <w:t>3</w:t>
      </w:r>
      <w:r>
        <w:fldChar w:fldCharType="end"/>
      </w:r>
      <w:r>
        <w:fldChar w:fldCharType="end"/>
      </w:r>
    </w:p>
    <w:p w14:paraId="0BAB3431">
      <w:pPr>
        <w:pStyle w:val="8"/>
        <w:tabs>
          <w:tab w:val="right" w:leader="dot" w:pos="8306"/>
        </w:tabs>
      </w:pPr>
      <w:r>
        <w:fldChar w:fldCharType="begin"/>
      </w:r>
      <w:r>
        <w:instrText xml:space="preserve"> HYPERLINK \l _Toc333037448 </w:instrText>
      </w:r>
      <w:r>
        <w:fldChar w:fldCharType="separate"/>
      </w:r>
      <w:r>
        <w:rPr>
          <w:rFonts w:ascii="黑体" w:hAnsi="黑体" w:eastAsia="黑体" w:cs="黑体"/>
        </w:rPr>
        <w:t>1.1 课题来源</w:t>
      </w:r>
      <w:r>
        <w:tab/>
      </w:r>
      <w:r>
        <w:fldChar w:fldCharType="begin"/>
      </w:r>
      <w:r>
        <w:instrText xml:space="preserve"> PAGEREF _Toc333037448 \h </w:instrText>
      </w:r>
      <w:r>
        <w:fldChar w:fldCharType="separate"/>
      </w:r>
      <w:r>
        <w:t>3</w:t>
      </w:r>
      <w:r>
        <w:fldChar w:fldCharType="end"/>
      </w:r>
      <w:r>
        <w:fldChar w:fldCharType="end"/>
      </w:r>
    </w:p>
    <w:p w14:paraId="432DCDE5">
      <w:pPr>
        <w:pStyle w:val="8"/>
        <w:tabs>
          <w:tab w:val="right" w:leader="dot" w:pos="8306"/>
        </w:tabs>
      </w:pPr>
      <w:r>
        <w:fldChar w:fldCharType="begin"/>
      </w:r>
      <w:r>
        <w:instrText xml:space="preserve"> HYPERLINK \l _Toc1018004454 </w:instrText>
      </w:r>
      <w:r>
        <w:fldChar w:fldCharType="separate"/>
      </w:r>
      <w:r>
        <w:rPr>
          <w:rFonts w:ascii="黑体" w:hAnsi="黑体" w:eastAsia="黑体" w:cs="黑体"/>
        </w:rPr>
        <w:t>1.2 研究背景</w:t>
      </w:r>
      <w:r>
        <w:tab/>
      </w:r>
      <w:r>
        <w:fldChar w:fldCharType="begin"/>
      </w:r>
      <w:r>
        <w:instrText xml:space="preserve"> PAGEREF _Toc1018004454 \h </w:instrText>
      </w:r>
      <w:r>
        <w:fldChar w:fldCharType="separate"/>
      </w:r>
      <w:r>
        <w:t>3</w:t>
      </w:r>
      <w:r>
        <w:fldChar w:fldCharType="end"/>
      </w:r>
      <w:r>
        <w:fldChar w:fldCharType="end"/>
      </w:r>
    </w:p>
    <w:p w14:paraId="1ABEFF35">
      <w:pPr>
        <w:pStyle w:val="8"/>
        <w:tabs>
          <w:tab w:val="right" w:leader="dot" w:pos="8306"/>
        </w:tabs>
      </w:pPr>
      <w:r>
        <w:fldChar w:fldCharType="begin"/>
      </w:r>
      <w:r>
        <w:instrText xml:space="preserve"> HYPERLINK \l _Toc598642729 </w:instrText>
      </w:r>
      <w:r>
        <w:fldChar w:fldCharType="separate"/>
      </w:r>
      <w:r>
        <w:rPr>
          <w:rFonts w:ascii="黑体" w:hAnsi="黑体" w:eastAsia="黑体" w:cs="黑体"/>
        </w:rPr>
        <w:t>1.3 传统后训练方法的局限</w:t>
      </w:r>
      <w:r>
        <w:tab/>
      </w:r>
      <w:r>
        <w:fldChar w:fldCharType="begin"/>
      </w:r>
      <w:r>
        <w:instrText xml:space="preserve"> PAGEREF _Toc598642729 \h </w:instrText>
      </w:r>
      <w:r>
        <w:fldChar w:fldCharType="separate"/>
      </w:r>
      <w:r>
        <w:t>4</w:t>
      </w:r>
      <w:r>
        <w:fldChar w:fldCharType="end"/>
      </w:r>
      <w:r>
        <w:fldChar w:fldCharType="end"/>
      </w:r>
    </w:p>
    <w:p w14:paraId="2894B87E">
      <w:pPr>
        <w:pStyle w:val="8"/>
        <w:tabs>
          <w:tab w:val="right" w:leader="dot" w:pos="8306"/>
        </w:tabs>
      </w:pPr>
      <w:r>
        <w:fldChar w:fldCharType="begin"/>
      </w:r>
      <w:r>
        <w:instrText xml:space="preserve"> HYPERLINK \l _Toc427460108 </w:instrText>
      </w:r>
      <w:r>
        <w:fldChar w:fldCharType="separate"/>
      </w:r>
      <w:r>
        <w:rPr>
          <w:rFonts w:ascii="黑体" w:hAnsi="黑体" w:eastAsia="黑体" w:cs="黑体"/>
        </w:rPr>
        <w:t>1.4 在线策略蒸馏的研究价值</w:t>
      </w:r>
      <w:r>
        <w:tab/>
      </w:r>
      <w:r>
        <w:fldChar w:fldCharType="begin"/>
      </w:r>
      <w:r>
        <w:instrText xml:space="preserve"> PAGEREF _Toc427460108 \h </w:instrText>
      </w:r>
      <w:r>
        <w:fldChar w:fldCharType="separate"/>
      </w:r>
      <w:r>
        <w:t>5</w:t>
      </w:r>
      <w:r>
        <w:fldChar w:fldCharType="end"/>
      </w:r>
      <w:r>
        <w:fldChar w:fldCharType="end"/>
      </w:r>
    </w:p>
    <w:p w14:paraId="01AF5A8A">
      <w:pPr>
        <w:pStyle w:val="8"/>
        <w:tabs>
          <w:tab w:val="right" w:leader="dot" w:pos="8306"/>
        </w:tabs>
      </w:pPr>
      <w:r>
        <w:fldChar w:fldCharType="begin"/>
      </w:r>
      <w:r>
        <w:instrText xml:space="preserve"> HYPERLINK \l _Toc989235941 </w:instrText>
      </w:r>
      <w:r>
        <w:fldChar w:fldCharType="separate"/>
      </w:r>
      <w:r>
        <w:rPr>
          <w:rFonts w:ascii="黑体" w:hAnsi="黑体" w:eastAsia="黑体" w:cs="黑体"/>
        </w:rPr>
        <w:t>1.5 研究目的和意义</w:t>
      </w:r>
      <w:r>
        <w:tab/>
      </w:r>
      <w:r>
        <w:fldChar w:fldCharType="begin"/>
      </w:r>
      <w:r>
        <w:instrText xml:space="preserve"> PAGEREF _Toc989235941 \h </w:instrText>
      </w:r>
      <w:r>
        <w:fldChar w:fldCharType="separate"/>
      </w:r>
      <w:r>
        <w:t>5</w:t>
      </w:r>
      <w:r>
        <w:fldChar w:fldCharType="end"/>
      </w:r>
      <w:r>
        <w:fldChar w:fldCharType="end"/>
      </w:r>
    </w:p>
    <w:p w14:paraId="0F6F7824">
      <w:pPr>
        <w:pStyle w:val="7"/>
        <w:tabs>
          <w:tab w:val="right" w:leader="dot" w:pos="8306"/>
        </w:tabs>
      </w:pPr>
      <w:r>
        <w:fldChar w:fldCharType="begin"/>
      </w:r>
      <w:r>
        <w:instrText xml:space="preserve"> HYPERLINK \l _Toc270065313 </w:instrText>
      </w:r>
      <w:r>
        <w:fldChar w:fldCharType="separate"/>
      </w:r>
      <w:r>
        <w:rPr>
          <w:rFonts w:ascii="黑体" w:hAnsi="黑体" w:eastAsia="黑体" w:cs="黑体"/>
        </w:rPr>
        <w:t>2．国内外在该方向的研究现状及分析</w:t>
      </w:r>
      <w:r>
        <w:tab/>
      </w:r>
      <w:r>
        <w:fldChar w:fldCharType="begin"/>
      </w:r>
      <w:r>
        <w:instrText xml:space="preserve"> PAGEREF _Toc270065313 \h </w:instrText>
      </w:r>
      <w:r>
        <w:fldChar w:fldCharType="separate"/>
      </w:r>
      <w:r>
        <w:t>6</w:t>
      </w:r>
      <w:r>
        <w:fldChar w:fldCharType="end"/>
      </w:r>
      <w:r>
        <w:fldChar w:fldCharType="end"/>
      </w:r>
    </w:p>
    <w:p w14:paraId="69817F63">
      <w:pPr>
        <w:pStyle w:val="8"/>
        <w:tabs>
          <w:tab w:val="right" w:leader="dot" w:pos="8306"/>
        </w:tabs>
      </w:pPr>
      <w:r>
        <w:fldChar w:fldCharType="begin"/>
      </w:r>
      <w:r>
        <w:instrText xml:space="preserve"> HYPERLINK \l _Toc1354769480 </w:instrText>
      </w:r>
      <w:r>
        <w:fldChar w:fldCharType="separate"/>
      </w:r>
      <w:r>
        <w:rPr>
          <w:rFonts w:ascii="黑体" w:hAnsi="黑体" w:eastAsia="黑体" w:cs="黑体"/>
        </w:rPr>
        <w:t>2.1 大语言模型后训练和知识蒸馏</w:t>
      </w:r>
      <w:r>
        <w:tab/>
      </w:r>
      <w:r>
        <w:fldChar w:fldCharType="begin"/>
      </w:r>
      <w:r>
        <w:instrText xml:space="preserve"> PAGEREF _Toc1354769480 \h </w:instrText>
      </w:r>
      <w:r>
        <w:fldChar w:fldCharType="separate"/>
      </w:r>
      <w:r>
        <w:t>6</w:t>
      </w:r>
      <w:r>
        <w:fldChar w:fldCharType="end"/>
      </w:r>
      <w:r>
        <w:fldChar w:fldCharType="end"/>
      </w:r>
    </w:p>
    <w:p w14:paraId="0BF236CF">
      <w:pPr>
        <w:pStyle w:val="8"/>
        <w:tabs>
          <w:tab w:val="right" w:leader="dot" w:pos="8306"/>
        </w:tabs>
      </w:pPr>
      <w:r>
        <w:fldChar w:fldCharType="begin"/>
      </w:r>
      <w:r>
        <w:instrText xml:space="preserve"> HYPERLINK \l _Toc1989024866 </w:instrText>
      </w:r>
      <w:r>
        <w:fldChar w:fldCharType="separate"/>
      </w:r>
      <w:r>
        <w:rPr>
          <w:rFonts w:ascii="黑体" w:hAnsi="黑体" w:eastAsia="黑体" w:cs="黑体"/>
        </w:rPr>
        <w:t>2.2 分布偏移与在线策略蒸馏</w:t>
      </w:r>
      <w:r>
        <w:tab/>
      </w:r>
      <w:r>
        <w:fldChar w:fldCharType="begin"/>
      </w:r>
      <w:r>
        <w:instrText xml:space="preserve"> PAGEREF _Toc1989024866 \h </w:instrText>
      </w:r>
      <w:r>
        <w:fldChar w:fldCharType="separate"/>
      </w:r>
      <w:r>
        <w:t>7</w:t>
      </w:r>
      <w:r>
        <w:fldChar w:fldCharType="end"/>
      </w:r>
      <w:r>
        <w:fldChar w:fldCharType="end"/>
      </w:r>
    </w:p>
    <w:p w14:paraId="51C28282">
      <w:pPr>
        <w:pStyle w:val="8"/>
        <w:tabs>
          <w:tab w:val="right" w:leader="dot" w:pos="8306"/>
        </w:tabs>
      </w:pPr>
      <w:r>
        <w:fldChar w:fldCharType="begin"/>
      </w:r>
      <w:r>
        <w:instrText xml:space="preserve"> HYPERLINK \l _Toc1810473660 </w:instrText>
      </w:r>
      <w:r>
        <w:fldChar w:fldCharType="separate"/>
      </w:r>
      <w:r>
        <w:rPr>
          <w:rFonts w:ascii="黑体" w:hAnsi="黑体" w:eastAsia="黑体" w:cs="黑体"/>
        </w:rPr>
        <w:t>2.3 KL 散度方向与广义散度</w:t>
      </w:r>
      <w:r>
        <w:tab/>
      </w:r>
      <w:r>
        <w:fldChar w:fldCharType="begin"/>
      </w:r>
      <w:r>
        <w:instrText xml:space="preserve"> PAGEREF _Toc1810473660 \h </w:instrText>
      </w:r>
      <w:r>
        <w:fldChar w:fldCharType="separate"/>
      </w:r>
      <w:r>
        <w:t>9</w:t>
      </w:r>
      <w:r>
        <w:fldChar w:fldCharType="end"/>
      </w:r>
      <w:r>
        <w:fldChar w:fldCharType="end"/>
      </w:r>
    </w:p>
    <w:p w14:paraId="7BD7C750">
      <w:pPr>
        <w:pStyle w:val="8"/>
        <w:tabs>
          <w:tab w:val="right" w:leader="dot" w:pos="8306"/>
        </w:tabs>
      </w:pPr>
      <w:r>
        <w:fldChar w:fldCharType="begin"/>
      </w:r>
      <w:r>
        <w:instrText xml:space="preserve"> HYPERLINK \l _Toc935009277 </w:instrText>
      </w:r>
      <w:r>
        <w:fldChar w:fldCharType="separate"/>
      </w:r>
      <w:r>
        <w:rPr>
          <w:rFonts w:ascii="黑体" w:hAnsi="黑体" w:eastAsia="黑体" w:cs="黑体"/>
        </w:rPr>
        <w:t>2.4 监督信息粒度与资源效率</w:t>
      </w:r>
      <w:r>
        <w:tab/>
      </w:r>
      <w:r>
        <w:fldChar w:fldCharType="begin"/>
      </w:r>
      <w:r>
        <w:instrText xml:space="preserve"> PAGEREF _Toc935009277 \h </w:instrText>
      </w:r>
      <w:r>
        <w:fldChar w:fldCharType="separate"/>
      </w:r>
      <w:r>
        <w:t>10</w:t>
      </w:r>
      <w:r>
        <w:fldChar w:fldCharType="end"/>
      </w:r>
      <w:r>
        <w:fldChar w:fldCharType="end"/>
      </w:r>
    </w:p>
    <w:p w14:paraId="7DE0CE8A">
      <w:pPr>
        <w:pStyle w:val="8"/>
        <w:tabs>
          <w:tab w:val="right" w:leader="dot" w:pos="8306"/>
        </w:tabs>
      </w:pPr>
      <w:r>
        <w:fldChar w:fldCharType="begin"/>
      </w:r>
      <w:r>
        <w:instrText xml:space="preserve"> HYPERLINK \l _Toc1563073440 </w:instrText>
      </w:r>
      <w:r>
        <w:fldChar w:fldCharType="separate"/>
      </w:r>
      <w:r>
        <w:rPr>
          <w:rFonts w:ascii="黑体" w:hAnsi="黑体" w:eastAsia="黑体" w:cs="黑体"/>
        </w:rPr>
        <w:t>2.5 Function Calling 数据与评测研究</w:t>
      </w:r>
      <w:r>
        <w:tab/>
      </w:r>
      <w:r>
        <w:fldChar w:fldCharType="begin"/>
      </w:r>
      <w:r>
        <w:instrText xml:space="preserve"> PAGEREF _Toc1563073440 \h </w:instrText>
      </w:r>
      <w:r>
        <w:fldChar w:fldCharType="separate"/>
      </w:r>
      <w:r>
        <w:t>11</w:t>
      </w:r>
      <w:r>
        <w:fldChar w:fldCharType="end"/>
      </w:r>
      <w:r>
        <w:fldChar w:fldCharType="end"/>
      </w:r>
    </w:p>
    <w:p w14:paraId="3ED6D74C">
      <w:pPr>
        <w:pStyle w:val="7"/>
        <w:tabs>
          <w:tab w:val="right" w:leader="dot" w:pos="8306"/>
        </w:tabs>
      </w:pPr>
      <w:r>
        <w:fldChar w:fldCharType="begin"/>
      </w:r>
      <w:r>
        <w:instrText xml:space="preserve"> HYPERLINK \l _Toc407852329 </w:instrText>
      </w:r>
      <w:r>
        <w:fldChar w:fldCharType="separate"/>
      </w:r>
      <w:r>
        <w:rPr>
          <w:rFonts w:ascii="黑体" w:hAnsi="黑体" w:eastAsia="黑体" w:cs="黑体"/>
        </w:rPr>
        <w:t>3．主要研究内容</w:t>
      </w:r>
      <w:r>
        <w:tab/>
      </w:r>
      <w:r>
        <w:fldChar w:fldCharType="begin"/>
      </w:r>
      <w:r>
        <w:instrText xml:space="preserve"> PAGEREF _Toc407852329 \h </w:instrText>
      </w:r>
      <w:r>
        <w:fldChar w:fldCharType="separate"/>
      </w:r>
      <w:r>
        <w:t>13</w:t>
      </w:r>
      <w:r>
        <w:fldChar w:fldCharType="end"/>
      </w:r>
      <w:r>
        <w:fldChar w:fldCharType="end"/>
      </w:r>
    </w:p>
    <w:p w14:paraId="318E3BA2">
      <w:pPr>
        <w:pStyle w:val="8"/>
        <w:tabs>
          <w:tab w:val="right" w:leader="dot" w:pos="8306"/>
        </w:tabs>
      </w:pPr>
      <w:r>
        <w:fldChar w:fldCharType="begin"/>
      </w:r>
      <w:r>
        <w:instrText xml:space="preserve"> HYPERLINK \l _Toc6292279 </w:instrText>
      </w:r>
      <w:r>
        <w:fldChar w:fldCharType="separate"/>
      </w:r>
      <w:r>
        <w:rPr>
          <w:rFonts w:ascii="黑体" w:hAnsi="黑体" w:eastAsia="黑体" w:cs="黑体"/>
        </w:rPr>
        <w:t>3.1 统一的在线策略蒸馏研究流程</w:t>
      </w:r>
      <w:r>
        <w:tab/>
      </w:r>
      <w:r>
        <w:fldChar w:fldCharType="begin"/>
      </w:r>
      <w:r>
        <w:instrText xml:space="preserve"> PAGEREF _Toc6292279 \h </w:instrText>
      </w:r>
      <w:r>
        <w:fldChar w:fldCharType="separate"/>
      </w:r>
      <w:r>
        <w:t>13</w:t>
      </w:r>
      <w:r>
        <w:fldChar w:fldCharType="end"/>
      </w:r>
      <w:r>
        <w:fldChar w:fldCharType="end"/>
      </w:r>
    </w:p>
    <w:p w14:paraId="3DEEF126">
      <w:pPr>
        <w:pStyle w:val="8"/>
        <w:tabs>
          <w:tab w:val="right" w:leader="dot" w:pos="8306"/>
        </w:tabs>
      </w:pPr>
      <w:r>
        <w:fldChar w:fldCharType="begin"/>
      </w:r>
      <w:r>
        <w:instrText xml:space="preserve"> HYPERLINK \l _Toc527634450 </w:instrText>
      </w:r>
      <w:r>
        <w:fldChar w:fldCharType="separate"/>
      </w:r>
      <w:r>
        <w:rPr>
          <w:rFonts w:ascii="黑体" w:hAnsi="黑体" w:eastAsia="黑体" w:cs="黑体"/>
        </w:rPr>
        <w:t>3.2 三类散度目标</w:t>
      </w:r>
      <w:r>
        <w:tab/>
      </w:r>
      <w:r>
        <w:fldChar w:fldCharType="begin"/>
      </w:r>
      <w:r>
        <w:instrText xml:space="preserve"> PAGEREF _Toc527634450 \h </w:instrText>
      </w:r>
      <w:r>
        <w:fldChar w:fldCharType="separate"/>
      </w:r>
      <w:r>
        <w:t>13</w:t>
      </w:r>
      <w:r>
        <w:fldChar w:fldCharType="end"/>
      </w:r>
      <w:r>
        <w:fldChar w:fldCharType="end"/>
      </w:r>
    </w:p>
    <w:p w14:paraId="342A9E35">
      <w:pPr>
        <w:pStyle w:val="8"/>
        <w:tabs>
          <w:tab w:val="right" w:leader="dot" w:pos="8306"/>
        </w:tabs>
      </w:pPr>
      <w:r>
        <w:fldChar w:fldCharType="begin"/>
      </w:r>
      <w:r>
        <w:instrText xml:space="preserve"> HYPERLINK \l _Toc992222687 </w:instrText>
      </w:r>
      <w:r>
        <w:fldChar w:fldCharType="separate"/>
      </w:r>
      <w:r>
        <w:rPr>
          <w:rFonts w:ascii="黑体" w:hAnsi="黑体" w:eastAsia="黑体" w:cs="黑体"/>
        </w:rPr>
        <w:t>3.3 三种监督信息粒度/估计方式</w:t>
      </w:r>
      <w:r>
        <w:tab/>
      </w:r>
      <w:r>
        <w:fldChar w:fldCharType="begin"/>
      </w:r>
      <w:r>
        <w:instrText xml:space="preserve"> PAGEREF _Toc992222687 \h </w:instrText>
      </w:r>
      <w:r>
        <w:fldChar w:fldCharType="separate"/>
      </w:r>
      <w:r>
        <w:t>13</w:t>
      </w:r>
      <w:r>
        <w:fldChar w:fldCharType="end"/>
      </w:r>
      <w:r>
        <w:fldChar w:fldCharType="end"/>
      </w:r>
    </w:p>
    <w:p w14:paraId="3BDFB6E9">
      <w:pPr>
        <w:pStyle w:val="8"/>
        <w:tabs>
          <w:tab w:val="right" w:leader="dot" w:pos="8306"/>
        </w:tabs>
      </w:pPr>
      <w:r>
        <w:fldChar w:fldCharType="begin"/>
      </w:r>
      <w:r>
        <w:instrText xml:space="preserve"> HYPERLINK \l _Toc1076181454 </w:instrText>
      </w:r>
      <w:r>
        <w:fldChar w:fldCharType="separate"/>
      </w:r>
      <w:r>
        <w:rPr>
          <w:rFonts w:ascii="黑体" w:hAnsi="黑体" w:eastAsia="黑体" w:cs="黑体"/>
        </w:rPr>
        <w:t>3.4 LoRA 后训练与教师—学生关系</w:t>
      </w:r>
      <w:r>
        <w:tab/>
      </w:r>
      <w:r>
        <w:fldChar w:fldCharType="begin"/>
      </w:r>
      <w:r>
        <w:instrText xml:space="preserve"> PAGEREF _Toc1076181454 \h </w:instrText>
      </w:r>
      <w:r>
        <w:fldChar w:fldCharType="separate"/>
      </w:r>
      <w:r>
        <w:t>14</w:t>
      </w:r>
      <w:r>
        <w:fldChar w:fldCharType="end"/>
      </w:r>
      <w:r>
        <w:fldChar w:fldCharType="end"/>
      </w:r>
    </w:p>
    <w:p w14:paraId="704BE7F5">
      <w:pPr>
        <w:pStyle w:val="8"/>
        <w:tabs>
          <w:tab w:val="right" w:leader="dot" w:pos="8306"/>
        </w:tabs>
      </w:pPr>
      <w:r>
        <w:fldChar w:fldCharType="begin"/>
      </w:r>
      <w:r>
        <w:instrText xml:space="preserve"> HYPERLINK \l _Toc1274422344 </w:instrText>
      </w:r>
      <w:r>
        <w:fldChar w:fldCharType="separate"/>
      </w:r>
      <w:r>
        <w:rPr>
          <w:rFonts w:ascii="黑体" w:hAnsi="黑体" w:eastAsia="黑体" w:cs="黑体"/>
        </w:rPr>
        <w:t>3.5 Function Calling 评测与推理性能分析</w:t>
      </w:r>
      <w:r>
        <w:tab/>
      </w:r>
      <w:r>
        <w:fldChar w:fldCharType="begin"/>
      </w:r>
      <w:r>
        <w:instrText xml:space="preserve"> PAGEREF _Toc1274422344 \h </w:instrText>
      </w:r>
      <w:r>
        <w:fldChar w:fldCharType="separate"/>
      </w:r>
      <w:r>
        <w:t>14</w:t>
      </w:r>
      <w:r>
        <w:fldChar w:fldCharType="end"/>
      </w:r>
      <w:r>
        <w:fldChar w:fldCharType="end"/>
      </w:r>
    </w:p>
    <w:p w14:paraId="31DB8D33">
      <w:pPr>
        <w:pStyle w:val="8"/>
        <w:tabs>
          <w:tab w:val="right" w:leader="dot" w:pos="8306"/>
        </w:tabs>
      </w:pPr>
      <w:r>
        <w:fldChar w:fldCharType="begin"/>
      </w:r>
      <w:r>
        <w:instrText xml:space="preserve"> HYPERLINK \l _Toc214440430 </w:instrText>
      </w:r>
      <w:r>
        <w:fldChar w:fldCharType="separate"/>
      </w:r>
      <w:r>
        <w:rPr>
          <w:rFonts w:ascii="黑体" w:hAnsi="黑体" w:eastAsia="黑体" w:cs="黑体"/>
        </w:rPr>
        <w:t>3.6 研究问题</w:t>
      </w:r>
      <w:r>
        <w:tab/>
      </w:r>
      <w:r>
        <w:fldChar w:fldCharType="begin"/>
      </w:r>
      <w:r>
        <w:instrText xml:space="preserve"> PAGEREF _Toc214440430 \h </w:instrText>
      </w:r>
      <w:r>
        <w:fldChar w:fldCharType="separate"/>
      </w:r>
      <w:r>
        <w:t>14</w:t>
      </w:r>
      <w:r>
        <w:fldChar w:fldCharType="end"/>
      </w:r>
      <w:r>
        <w:fldChar w:fldCharType="end"/>
      </w:r>
    </w:p>
    <w:p w14:paraId="0FE4142B">
      <w:pPr>
        <w:pStyle w:val="8"/>
        <w:tabs>
          <w:tab w:val="right" w:leader="dot" w:pos="8306"/>
        </w:tabs>
      </w:pPr>
      <w:r>
        <w:fldChar w:fldCharType="begin"/>
      </w:r>
      <w:r>
        <w:instrText xml:space="preserve"> HYPERLINK \l _Toc622747344 </w:instrText>
      </w:r>
      <w:r>
        <w:fldChar w:fldCharType="separate"/>
      </w:r>
      <w:r>
        <w:rPr>
          <w:rFonts w:ascii="黑体" w:hAnsi="黑体" w:eastAsia="黑体" w:cs="黑体"/>
        </w:rPr>
        <w:t>3.7 各研究内容之间的关系</w:t>
      </w:r>
      <w:r>
        <w:tab/>
      </w:r>
      <w:r>
        <w:fldChar w:fldCharType="begin"/>
      </w:r>
      <w:r>
        <w:instrText xml:space="preserve"> PAGEREF _Toc622747344 \h </w:instrText>
      </w:r>
      <w:r>
        <w:fldChar w:fldCharType="separate"/>
      </w:r>
      <w:r>
        <w:t>15</w:t>
      </w:r>
      <w:r>
        <w:fldChar w:fldCharType="end"/>
      </w:r>
      <w:r>
        <w:fldChar w:fldCharType="end"/>
      </w:r>
    </w:p>
    <w:p w14:paraId="0094D178">
      <w:pPr>
        <w:pStyle w:val="7"/>
        <w:tabs>
          <w:tab w:val="right" w:leader="dot" w:pos="8306"/>
        </w:tabs>
      </w:pPr>
      <w:r>
        <w:fldChar w:fldCharType="begin"/>
      </w:r>
      <w:r>
        <w:instrText xml:space="preserve"> HYPERLINK \l _Toc1826798777 </w:instrText>
      </w:r>
      <w:r>
        <w:fldChar w:fldCharType="separate"/>
      </w:r>
      <w:r>
        <w:rPr>
          <w:rFonts w:ascii="黑体" w:hAnsi="黑体" w:eastAsia="黑体" w:cs="黑体"/>
        </w:rPr>
        <w:t>4．研究方案</w:t>
      </w:r>
      <w:r>
        <w:tab/>
      </w:r>
      <w:r>
        <w:fldChar w:fldCharType="begin"/>
      </w:r>
      <w:r>
        <w:instrText xml:space="preserve"> PAGEREF _Toc1826798777 \h </w:instrText>
      </w:r>
      <w:r>
        <w:fldChar w:fldCharType="separate"/>
      </w:r>
      <w:r>
        <w:t>15</w:t>
      </w:r>
      <w:r>
        <w:fldChar w:fldCharType="end"/>
      </w:r>
      <w:r>
        <w:fldChar w:fldCharType="end"/>
      </w:r>
    </w:p>
    <w:p w14:paraId="341E7DC2">
      <w:pPr>
        <w:pStyle w:val="8"/>
        <w:tabs>
          <w:tab w:val="right" w:leader="dot" w:pos="8306"/>
        </w:tabs>
      </w:pPr>
      <w:r>
        <w:fldChar w:fldCharType="begin"/>
      </w:r>
      <w:r>
        <w:instrText xml:space="preserve"> HYPERLINK \l _Toc433343880 </w:instrText>
      </w:r>
      <w:r>
        <w:fldChar w:fldCharType="separate"/>
      </w:r>
      <w:r>
        <w:rPr>
          <w:rFonts w:ascii="黑体" w:hAnsi="黑体" w:eastAsia="黑体" w:cs="黑体"/>
        </w:rPr>
        <w:t>4.1 总体技术路线</w:t>
      </w:r>
      <w:r>
        <w:tab/>
      </w:r>
      <w:r>
        <w:fldChar w:fldCharType="begin"/>
      </w:r>
      <w:r>
        <w:instrText xml:space="preserve"> PAGEREF _Toc433343880 \h </w:instrText>
      </w:r>
      <w:r>
        <w:fldChar w:fldCharType="separate"/>
      </w:r>
      <w:r>
        <w:t>15</w:t>
      </w:r>
      <w:r>
        <w:fldChar w:fldCharType="end"/>
      </w:r>
      <w:r>
        <w:fldChar w:fldCharType="end"/>
      </w:r>
    </w:p>
    <w:p w14:paraId="56A7503E">
      <w:pPr>
        <w:pStyle w:val="8"/>
        <w:tabs>
          <w:tab w:val="right" w:leader="dot" w:pos="8306"/>
        </w:tabs>
      </w:pPr>
      <w:r>
        <w:fldChar w:fldCharType="begin"/>
      </w:r>
      <w:r>
        <w:instrText xml:space="preserve"> HYPERLINK \l _Toc1093544183 </w:instrText>
      </w:r>
      <w:r>
        <w:fldChar w:fldCharType="separate"/>
      </w:r>
      <w:r>
        <w:rPr>
          <w:rFonts w:ascii="黑体" w:hAnsi="黑体" w:eastAsia="黑体" w:cs="黑体"/>
        </w:rPr>
        <w:t>4.2 模型和数据准备</w:t>
      </w:r>
      <w:r>
        <w:tab/>
      </w:r>
      <w:r>
        <w:fldChar w:fldCharType="begin"/>
      </w:r>
      <w:r>
        <w:instrText xml:space="preserve"> PAGEREF _Toc1093544183 \h </w:instrText>
      </w:r>
      <w:r>
        <w:fldChar w:fldCharType="separate"/>
      </w:r>
      <w:r>
        <w:t>16</w:t>
      </w:r>
      <w:r>
        <w:fldChar w:fldCharType="end"/>
      </w:r>
      <w:r>
        <w:fldChar w:fldCharType="end"/>
      </w:r>
    </w:p>
    <w:p w14:paraId="3A85EAA0">
      <w:pPr>
        <w:pStyle w:val="8"/>
        <w:tabs>
          <w:tab w:val="right" w:leader="dot" w:pos="8306"/>
        </w:tabs>
      </w:pPr>
      <w:r>
        <w:fldChar w:fldCharType="begin"/>
      </w:r>
      <w:r>
        <w:instrText xml:space="preserve"> HYPERLINK \l _Toc1032032655 </w:instrText>
      </w:r>
      <w:r>
        <w:fldChar w:fldCharType="separate"/>
      </w:r>
      <w:r>
        <w:rPr>
          <w:rFonts w:ascii="黑体" w:hAnsi="黑体" w:eastAsia="黑体" w:cs="黑体"/>
        </w:rPr>
        <w:t>4.3 学生 rollout 和教师反馈</w:t>
      </w:r>
      <w:r>
        <w:tab/>
      </w:r>
      <w:r>
        <w:fldChar w:fldCharType="begin"/>
      </w:r>
      <w:r>
        <w:instrText xml:space="preserve"> PAGEREF _Toc1032032655 \h </w:instrText>
      </w:r>
      <w:r>
        <w:fldChar w:fldCharType="separate"/>
      </w:r>
      <w:r>
        <w:t>16</w:t>
      </w:r>
      <w:r>
        <w:fldChar w:fldCharType="end"/>
      </w:r>
      <w:r>
        <w:fldChar w:fldCharType="end"/>
      </w:r>
    </w:p>
    <w:p w14:paraId="13CBE342">
      <w:pPr>
        <w:pStyle w:val="8"/>
        <w:tabs>
          <w:tab w:val="right" w:leader="dot" w:pos="8306"/>
        </w:tabs>
      </w:pPr>
      <w:r>
        <w:fldChar w:fldCharType="begin"/>
      </w:r>
      <w:r>
        <w:instrText xml:space="preserve"> HYPERLINK \l _Toc147415766 </w:instrText>
      </w:r>
      <w:r>
        <w:fldChar w:fldCharType="separate"/>
      </w:r>
      <w:r>
        <w:rPr>
          <w:rFonts w:ascii="黑体" w:hAnsi="黑体" w:eastAsia="黑体" w:cs="黑体"/>
        </w:rPr>
        <w:t>4.4 损失与监督信息粒度/估计方式的定义原则</w:t>
      </w:r>
      <w:r>
        <w:tab/>
      </w:r>
      <w:r>
        <w:fldChar w:fldCharType="begin"/>
      </w:r>
      <w:r>
        <w:instrText xml:space="preserve"> PAGEREF _Toc147415766 \h </w:instrText>
      </w:r>
      <w:r>
        <w:fldChar w:fldCharType="separate"/>
      </w:r>
      <w:r>
        <w:t>17</w:t>
      </w:r>
      <w:r>
        <w:fldChar w:fldCharType="end"/>
      </w:r>
      <w:r>
        <w:fldChar w:fldCharType="end"/>
      </w:r>
    </w:p>
    <w:p w14:paraId="6B92C33A">
      <w:pPr>
        <w:pStyle w:val="8"/>
        <w:tabs>
          <w:tab w:val="right" w:leader="dot" w:pos="8306"/>
        </w:tabs>
      </w:pPr>
      <w:r>
        <w:fldChar w:fldCharType="begin"/>
      </w:r>
      <w:r>
        <w:instrText xml:space="preserve"> HYPERLINK \l _Toc1568134171 </w:instrText>
      </w:r>
      <w:r>
        <w:fldChar w:fldCharType="separate"/>
      </w:r>
      <w:r>
        <w:rPr>
          <w:rFonts w:ascii="黑体" w:hAnsi="黑体" w:eastAsia="黑体" w:cs="黑体"/>
        </w:rPr>
        <w:t>4.5 评价指标和公平性</w:t>
      </w:r>
      <w:r>
        <w:tab/>
      </w:r>
      <w:r>
        <w:fldChar w:fldCharType="begin"/>
      </w:r>
      <w:r>
        <w:instrText xml:space="preserve"> PAGEREF _Toc1568134171 \h </w:instrText>
      </w:r>
      <w:r>
        <w:fldChar w:fldCharType="separate"/>
      </w:r>
      <w:r>
        <w:t>18</w:t>
      </w:r>
      <w:r>
        <w:fldChar w:fldCharType="end"/>
      </w:r>
      <w:r>
        <w:fldChar w:fldCharType="end"/>
      </w:r>
    </w:p>
    <w:p w14:paraId="278F8EE8">
      <w:pPr>
        <w:pStyle w:val="8"/>
        <w:tabs>
          <w:tab w:val="right" w:leader="dot" w:pos="8306"/>
        </w:tabs>
      </w:pPr>
      <w:r>
        <w:fldChar w:fldCharType="begin"/>
      </w:r>
      <w:r>
        <w:instrText xml:space="preserve"> HYPERLINK \l _Toc1711696013 </w:instrText>
      </w:r>
      <w:r>
        <w:fldChar w:fldCharType="separate"/>
      </w:r>
      <w:r>
        <w:rPr>
          <w:rFonts w:ascii="黑体" w:hAnsi="黑体" w:eastAsia="黑体" w:cs="黑体"/>
        </w:rPr>
        <w:t>4.6 可行性分析</w:t>
      </w:r>
      <w:r>
        <w:tab/>
      </w:r>
      <w:r>
        <w:fldChar w:fldCharType="begin"/>
      </w:r>
      <w:r>
        <w:instrText xml:space="preserve"> PAGEREF _Toc1711696013 \h </w:instrText>
      </w:r>
      <w:r>
        <w:fldChar w:fldCharType="separate"/>
      </w:r>
      <w:r>
        <w:t>20</w:t>
      </w:r>
      <w:r>
        <w:fldChar w:fldCharType="end"/>
      </w:r>
      <w:r>
        <w:fldChar w:fldCharType="end"/>
      </w:r>
    </w:p>
    <w:p w14:paraId="75D09AA4">
      <w:pPr>
        <w:pStyle w:val="7"/>
        <w:tabs>
          <w:tab w:val="right" w:leader="dot" w:pos="8306"/>
        </w:tabs>
      </w:pPr>
      <w:r>
        <w:fldChar w:fldCharType="begin"/>
      </w:r>
      <w:r>
        <w:instrText xml:space="preserve"> HYPERLINK \l _Toc783955279 </w:instrText>
      </w:r>
      <w:r>
        <w:fldChar w:fldCharType="separate"/>
      </w:r>
      <w:r>
        <w:rPr>
          <w:rFonts w:ascii="黑体" w:hAnsi="黑体" w:eastAsia="黑体" w:cs="黑体"/>
        </w:rPr>
        <w:t>5．进度安排，预期达到的目标</w:t>
      </w:r>
      <w:r>
        <w:tab/>
      </w:r>
      <w:r>
        <w:fldChar w:fldCharType="begin"/>
      </w:r>
      <w:r>
        <w:instrText xml:space="preserve"> PAGEREF _Toc783955279 \h </w:instrText>
      </w:r>
      <w:r>
        <w:fldChar w:fldCharType="separate"/>
      </w:r>
      <w:r>
        <w:t>20</w:t>
      </w:r>
      <w:r>
        <w:fldChar w:fldCharType="end"/>
      </w:r>
      <w:r>
        <w:fldChar w:fldCharType="end"/>
      </w:r>
    </w:p>
    <w:p w14:paraId="5F025851">
      <w:pPr>
        <w:pStyle w:val="8"/>
        <w:tabs>
          <w:tab w:val="right" w:leader="dot" w:pos="8306"/>
        </w:tabs>
      </w:pPr>
      <w:r>
        <w:fldChar w:fldCharType="begin"/>
      </w:r>
      <w:r>
        <w:instrText xml:space="preserve"> HYPERLINK \l _Toc1124199808 </w:instrText>
      </w:r>
      <w:r>
        <w:fldChar w:fldCharType="separate"/>
      </w:r>
      <w:r>
        <w:rPr>
          <w:rFonts w:ascii="黑体" w:hAnsi="黑体" w:eastAsia="黑体" w:cs="黑体"/>
        </w:rPr>
        <w:t>5.1 进度安排</w:t>
      </w:r>
      <w:r>
        <w:tab/>
      </w:r>
      <w:r>
        <w:fldChar w:fldCharType="begin"/>
      </w:r>
      <w:r>
        <w:instrText xml:space="preserve"> PAGEREF _Toc1124199808 \h </w:instrText>
      </w:r>
      <w:r>
        <w:fldChar w:fldCharType="separate"/>
      </w:r>
      <w:r>
        <w:t>20</w:t>
      </w:r>
      <w:r>
        <w:fldChar w:fldCharType="end"/>
      </w:r>
      <w:r>
        <w:fldChar w:fldCharType="end"/>
      </w:r>
    </w:p>
    <w:p w14:paraId="0EB07FFF">
      <w:pPr>
        <w:pStyle w:val="8"/>
        <w:tabs>
          <w:tab w:val="right" w:leader="dot" w:pos="8306"/>
        </w:tabs>
      </w:pPr>
      <w:r>
        <w:fldChar w:fldCharType="begin"/>
      </w:r>
      <w:r>
        <w:instrText xml:space="preserve"> HYPERLINK \l _Toc865046750 </w:instrText>
      </w:r>
      <w:r>
        <w:fldChar w:fldCharType="separate"/>
      </w:r>
      <w:r>
        <w:rPr>
          <w:rFonts w:ascii="黑体" w:hAnsi="黑体" w:eastAsia="黑体" w:cs="黑体"/>
        </w:rPr>
        <w:t>5.2 预期达到的目标</w:t>
      </w:r>
      <w:r>
        <w:tab/>
      </w:r>
      <w:r>
        <w:fldChar w:fldCharType="begin"/>
      </w:r>
      <w:r>
        <w:instrText xml:space="preserve"> PAGEREF _Toc865046750 \h </w:instrText>
      </w:r>
      <w:r>
        <w:fldChar w:fldCharType="separate"/>
      </w:r>
      <w:r>
        <w:t>21</w:t>
      </w:r>
      <w:r>
        <w:fldChar w:fldCharType="end"/>
      </w:r>
      <w:r>
        <w:fldChar w:fldCharType="end"/>
      </w:r>
    </w:p>
    <w:p w14:paraId="687EAF59">
      <w:pPr>
        <w:pStyle w:val="7"/>
        <w:tabs>
          <w:tab w:val="right" w:leader="dot" w:pos="8306"/>
        </w:tabs>
      </w:pPr>
      <w:r>
        <w:fldChar w:fldCharType="begin"/>
      </w:r>
      <w:r>
        <w:instrText xml:space="preserve"> HYPERLINK \l _Toc376437060 </w:instrText>
      </w:r>
      <w:r>
        <w:fldChar w:fldCharType="separate"/>
      </w:r>
      <w:r>
        <w:rPr>
          <w:rFonts w:ascii="黑体" w:hAnsi="黑体" w:eastAsia="黑体" w:cs="黑体"/>
        </w:rPr>
        <w:t>6．课题已具备和所需的条件、经费</w:t>
      </w:r>
      <w:r>
        <w:tab/>
      </w:r>
      <w:r>
        <w:fldChar w:fldCharType="begin"/>
      </w:r>
      <w:r>
        <w:instrText xml:space="preserve"> PAGEREF _Toc376437060 \h </w:instrText>
      </w:r>
      <w:r>
        <w:fldChar w:fldCharType="separate"/>
      </w:r>
      <w:r>
        <w:t>22</w:t>
      </w:r>
      <w:r>
        <w:fldChar w:fldCharType="end"/>
      </w:r>
      <w:r>
        <w:fldChar w:fldCharType="end"/>
      </w:r>
    </w:p>
    <w:p w14:paraId="4677B6B7">
      <w:pPr>
        <w:pStyle w:val="8"/>
        <w:tabs>
          <w:tab w:val="right" w:leader="dot" w:pos="8306"/>
        </w:tabs>
      </w:pPr>
      <w:r>
        <w:fldChar w:fldCharType="begin"/>
      </w:r>
      <w:r>
        <w:instrText xml:space="preserve"> HYPERLINK \l _Toc290843358 </w:instrText>
      </w:r>
      <w:r>
        <w:fldChar w:fldCharType="separate"/>
      </w:r>
      <w:r>
        <w:rPr>
          <w:rFonts w:ascii="黑体" w:hAnsi="黑体" w:eastAsia="黑体" w:cs="黑体"/>
        </w:rPr>
        <w:t>6.1 已具备条件</w:t>
      </w:r>
      <w:r>
        <w:tab/>
      </w:r>
      <w:r>
        <w:fldChar w:fldCharType="begin"/>
      </w:r>
      <w:r>
        <w:instrText xml:space="preserve"> PAGEREF _Toc290843358 \h </w:instrText>
      </w:r>
      <w:r>
        <w:fldChar w:fldCharType="separate"/>
      </w:r>
      <w:r>
        <w:t>22</w:t>
      </w:r>
      <w:r>
        <w:fldChar w:fldCharType="end"/>
      </w:r>
      <w:r>
        <w:fldChar w:fldCharType="end"/>
      </w:r>
    </w:p>
    <w:p w14:paraId="628AB64D">
      <w:pPr>
        <w:pStyle w:val="8"/>
        <w:tabs>
          <w:tab w:val="right" w:leader="dot" w:pos="8306"/>
        </w:tabs>
      </w:pPr>
      <w:r>
        <w:fldChar w:fldCharType="begin"/>
      </w:r>
      <w:r>
        <w:instrText xml:space="preserve"> HYPERLINK \l _Toc531537334 </w:instrText>
      </w:r>
      <w:r>
        <w:fldChar w:fldCharType="separate"/>
      </w:r>
      <w:r>
        <w:rPr>
          <w:rFonts w:ascii="黑体" w:hAnsi="黑体" w:eastAsia="黑体" w:cs="黑体"/>
        </w:rPr>
        <w:t>6.2 所需条件</w:t>
      </w:r>
      <w:r>
        <w:tab/>
      </w:r>
      <w:r>
        <w:fldChar w:fldCharType="begin"/>
      </w:r>
      <w:r>
        <w:instrText xml:space="preserve"> PAGEREF _Toc531537334 \h </w:instrText>
      </w:r>
      <w:r>
        <w:fldChar w:fldCharType="separate"/>
      </w:r>
      <w:r>
        <w:t>22</w:t>
      </w:r>
      <w:r>
        <w:fldChar w:fldCharType="end"/>
      </w:r>
      <w:r>
        <w:fldChar w:fldCharType="end"/>
      </w:r>
    </w:p>
    <w:p w14:paraId="14CBD5B1">
      <w:pPr>
        <w:pStyle w:val="8"/>
        <w:tabs>
          <w:tab w:val="right" w:leader="dot" w:pos="8306"/>
        </w:tabs>
      </w:pPr>
      <w:r>
        <w:fldChar w:fldCharType="begin"/>
      </w:r>
      <w:r>
        <w:instrText xml:space="preserve"> HYPERLINK \l _Toc16001018 </w:instrText>
      </w:r>
      <w:r>
        <w:fldChar w:fldCharType="separate"/>
      </w:r>
      <w:r>
        <w:rPr>
          <w:rFonts w:ascii="黑体" w:hAnsi="黑体" w:eastAsia="黑体" w:cs="黑体"/>
        </w:rPr>
        <w:t>6.3 经费</w:t>
      </w:r>
      <w:r>
        <w:tab/>
      </w:r>
      <w:r>
        <w:fldChar w:fldCharType="begin"/>
      </w:r>
      <w:r>
        <w:instrText xml:space="preserve"> PAGEREF _Toc16001018 \h </w:instrText>
      </w:r>
      <w:r>
        <w:fldChar w:fldCharType="separate"/>
      </w:r>
      <w:r>
        <w:t>22</w:t>
      </w:r>
      <w:r>
        <w:fldChar w:fldCharType="end"/>
      </w:r>
      <w:r>
        <w:fldChar w:fldCharType="end"/>
      </w:r>
    </w:p>
    <w:p w14:paraId="28E59F96">
      <w:pPr>
        <w:pStyle w:val="7"/>
        <w:tabs>
          <w:tab w:val="right" w:leader="dot" w:pos="8306"/>
        </w:tabs>
      </w:pPr>
      <w:r>
        <w:fldChar w:fldCharType="begin"/>
      </w:r>
      <w:r>
        <w:instrText xml:space="preserve"> HYPERLINK \l _Toc493653651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_Toc493653651 \h </w:instrText>
      </w:r>
      <w:r>
        <w:fldChar w:fldCharType="separate"/>
      </w:r>
      <w:r>
        <w:t>24</w:t>
      </w:r>
      <w:r>
        <w:fldChar w:fldCharType="end"/>
      </w:r>
      <w:r>
        <w:fldChar w:fldCharType="end"/>
      </w:r>
    </w:p>
    <w:p w14:paraId="3DFB965B">
      <w:pPr>
        <w:pStyle w:val="7"/>
        <w:tabs>
          <w:tab w:val="right" w:leader="dot" w:pos="8306"/>
        </w:tabs>
      </w:pPr>
      <w:r>
        <w:fldChar w:fldCharType="begin"/>
      </w:r>
      <w:r>
        <w:instrText xml:space="preserve"> HYPERLINK \l _Toc1107583996 </w:instrText>
      </w:r>
      <w:r>
        <w:fldChar w:fldCharType="separate"/>
      </w:r>
      <w:r>
        <w:rPr>
          <w:rFonts w:ascii="黑体" w:hAnsi="黑体" w:eastAsia="黑体" w:cs="黑体"/>
        </w:rPr>
        <w:t>8．主要参考文献</w:t>
      </w:r>
      <w:r>
        <w:tab/>
      </w:r>
      <w:r>
        <w:fldChar w:fldCharType="begin"/>
      </w:r>
      <w:r>
        <w:instrText xml:space="preserve"> PAGEREF _Toc1107583996 \h </w:instrText>
      </w:r>
      <w:r>
        <w:fldChar w:fldCharType="separate"/>
      </w:r>
      <w:r>
        <w:t>25</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88311075"/>
      <w:r>
        <w:rPr>
          <w:rFonts w:ascii="黑体" w:hAnsi="黑体" w:eastAsia="黑体" w:cs="黑体"/>
          <w:b/>
          <w:color w:val="000000"/>
          <w:sz w:val="28"/>
        </w:rPr>
        <w:t>1．课题来源及研究的目的和意义</w:t>
      </w:r>
      <w:bookmarkEnd w:id="0"/>
    </w:p>
    <w:p w14:paraId="5244ADAC">
      <w:pPr>
        <w:pStyle w:val="3"/>
      </w:pPr>
      <w:bookmarkStart w:id="1" w:name="_Toc333037448"/>
      <w:r>
        <w:rPr>
          <w:rFonts w:ascii="黑体" w:hAnsi="黑体" w:eastAsia="黑体" w:cs="黑体"/>
          <w:b/>
          <w:color w:val="000000"/>
          <w:sz w:val="24"/>
        </w:rPr>
        <w:t>1.1 课题来源</w:t>
      </w:r>
      <w:bookmarkEnd w:id="1"/>
    </w:p>
    <w:p w14:paraId="0068B391">
      <w:pPr>
        <w:ind w:firstLine="420"/>
        <w:jc w:val="both"/>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14:paraId="4589AFE8">
      <w:pPr>
        <w:ind w:firstLine="420"/>
        <w:jc w:val="both"/>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14:paraId="38DF9D6D">
      <w:pPr>
        <w:pStyle w:val="3"/>
      </w:pPr>
      <w:bookmarkStart w:id="2" w:name="_Toc1018004454"/>
      <w:r>
        <w:rPr>
          <w:rFonts w:ascii="黑体" w:hAnsi="黑体" w:eastAsia="黑体" w:cs="黑体"/>
          <w:b/>
          <w:color w:val="000000"/>
          <w:sz w:val="24"/>
        </w:rPr>
        <w:t>1.2 研究背景</w:t>
      </w:r>
      <w:bookmarkEnd w:id="2"/>
    </w:p>
    <w:p w14:paraId="1E7E09AB">
      <w:pPr>
        <w:ind w:firstLine="420"/>
        <w:jc w:val="both"/>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14:paraId="4CD1AD20">
      <w:pPr>
        <w:ind w:firstLine="420"/>
        <w:jc w:val="both"/>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14:paraId="17F46F4A">
      <w:pPr>
        <w:ind w:firstLine="420"/>
        <w:jc w:val="both"/>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14:paraId="02610039">
      <w:pPr>
        <w:ind w:firstLine="420"/>
        <w:jc w:val="both"/>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14:paraId="7AD88161">
      <w:pPr>
        <w:ind w:firstLine="420"/>
        <w:jc w:val="both"/>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14:paraId="7D373851">
      <w:pPr>
        <w:pStyle w:val="3"/>
      </w:pPr>
      <w:bookmarkStart w:id="3" w:name="_Toc598642729"/>
      <w:r>
        <w:rPr>
          <w:rFonts w:ascii="黑体" w:hAnsi="黑体" w:eastAsia="黑体" w:cs="黑体"/>
          <w:b/>
          <w:color w:val="000000"/>
          <w:sz w:val="24"/>
        </w:rPr>
        <w:t>1.3 传统后训练方法的局限</w:t>
      </w:r>
      <w:bookmarkEnd w:id="3"/>
    </w:p>
    <w:p w14:paraId="671E03D8">
      <w:pPr>
        <w:ind w:firstLine="420"/>
        <w:jc w:val="both"/>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14:paraId="29AB85EA">
      <w:pPr>
        <w:ind w:firstLine="420"/>
        <w:jc w:val="both"/>
      </w:pPr>
      <w:r>
        <w:t>强化学习和偏好优化分别依赖环境奖励与回答偏好，训练信号均不同于本课题的 token 分布监督。因此，本课题把强化学习和偏好优化作为背景，不把它们的训练协议并入主比较。</w:t>
      </w:r>
    </w:p>
    <w:p w14:paraId="2F69CA9E">
      <w:pPr>
        <w:ind w:firstLine="420"/>
        <w:jc w:val="both"/>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14:paraId="0A73208C">
      <w:pPr>
        <w:pStyle w:val="3"/>
      </w:pPr>
      <w:bookmarkStart w:id="4" w:name="_Toc427460108"/>
      <w:r>
        <w:rPr>
          <w:rFonts w:ascii="黑体" w:hAnsi="黑体" w:eastAsia="黑体" w:cs="黑体"/>
          <w:b/>
          <w:color w:val="000000"/>
          <w:sz w:val="24"/>
        </w:rPr>
        <w:t>1.4 在线策略蒸馏的研究价值</w:t>
      </w:r>
      <w:bookmarkEnd w:id="4"/>
    </w:p>
    <w:p w14:paraId="40480C2B">
      <w:pPr>
        <w:ind w:firstLine="420"/>
        <w:jc w:val="both"/>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14:paraId="7C4751C1">
      <w:pPr>
        <w:ind w:firstLine="420"/>
        <w:jc w:val="both"/>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14:paraId="20DA6477">
      <w:pPr>
        <w:ind w:firstLine="420"/>
        <w:jc w:val="both"/>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14:paraId="48D0F5F1">
      <w:pPr>
        <w:ind w:firstLine="420"/>
        <w:jc w:val="both"/>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14:paraId="59356753">
      <w:pPr>
        <w:pStyle w:val="3"/>
      </w:pPr>
      <w:bookmarkStart w:id="5" w:name="_Toc989235941"/>
      <w:r>
        <w:rPr>
          <w:rFonts w:ascii="黑体" w:hAnsi="黑体" w:eastAsia="黑体" w:cs="黑体"/>
          <w:b/>
          <w:color w:val="000000"/>
          <w:sz w:val="24"/>
        </w:rPr>
        <w:t>1.5 研究目的和意义</w:t>
      </w:r>
      <w:bookmarkEnd w:id="5"/>
    </w:p>
    <w:p w14:paraId="58E876DD">
      <w:pPr>
        <w:ind w:firstLine="420"/>
        <w:jc w:val="both"/>
      </w:pPr>
      <w:r>
        <w:t>本课题的研究目的如下：</w:t>
      </w:r>
    </w:p>
    <w:p w14:paraId="6FA8B508">
      <w:pPr>
        <w:pStyle w:val="17"/>
        <w:ind w:firstLine="420"/>
        <w:jc w:val="left"/>
      </w:pPr>
      <w:r>
        <w:t>1. 梳理离线蒸馏、在线策略蒸馏、KL 散度和工具增强模型的研究脉络，明确 OPD 在 Function Calling 中的研究问题。</w:t>
      </w:r>
    </w:p>
    <w:p w14:paraId="6CEC8EBA">
      <w:pPr>
        <w:pStyle w:val="17"/>
        <w:ind w:firstLine="420"/>
        <w:jc w:val="left"/>
      </w:pPr>
      <w:r>
        <w:t>2. 在统一的 OPD 后训练流程下比较主要散度方向与监督信息粒度/估计方式，具体候选矩阵见第3、4节。</w:t>
      </w:r>
    </w:p>
    <w:p w14:paraId="1582C878">
      <w:pPr>
        <w:pStyle w:val="17"/>
        <w:ind w:firstLine="420"/>
        <w:jc w:val="left"/>
      </w:pPr>
      <w:r>
        <w:t>3. 从任务正确率、训练稳定性、分布变化和资源开销分析方法差异，并在 vLLM 或自建测试程序中测量推理吞吐、延迟和端到端调用成功率。</w:t>
      </w:r>
    </w:p>
    <w:p w14:paraId="1280B22F">
      <w:pPr>
        <w:ind w:firstLine="420"/>
        <w:jc w:val="both"/>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14:paraId="486FC300">
      <w:pPr>
        <w:pStyle w:val="2"/>
      </w:pPr>
      <w:bookmarkStart w:id="6" w:name="_Toc270065313"/>
      <w:r>
        <w:rPr>
          <w:rFonts w:ascii="黑体" w:hAnsi="黑体" w:eastAsia="黑体" w:cs="黑体"/>
          <w:b/>
          <w:color w:val="000000"/>
          <w:sz w:val="28"/>
        </w:rPr>
        <w:t>2．国内外在该方向的研究现状及分析</w:t>
      </w:r>
      <w:bookmarkEnd w:id="6"/>
    </w:p>
    <w:p w14:paraId="4756E8EE">
      <w:pPr>
        <w:pStyle w:val="3"/>
      </w:pPr>
      <w:bookmarkStart w:id="7" w:name="_Toc1354769480"/>
      <w:r>
        <w:rPr>
          <w:rFonts w:ascii="黑体" w:hAnsi="黑体" w:eastAsia="黑体" w:cs="黑体"/>
          <w:b/>
          <w:color w:val="000000"/>
          <w:sz w:val="24"/>
        </w:rPr>
        <w:t>2.1 大语言模型后训练和知识蒸馏</w:t>
      </w:r>
      <w:bookmarkEnd w:id="7"/>
    </w:p>
    <w:p w14:paraId="63C19B99">
      <w:pPr>
        <w:ind w:firstLine="420"/>
        <w:jc w:val="both"/>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14:paraId="79D4A854">
      <w:pPr>
        <w:ind w:firstLine="420"/>
        <w:jc w:val="both"/>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14:paraId="582869BE">
      <w:pPr>
        <w:ind w:firstLine="420"/>
        <w:jc w:val="both"/>
      </w:pPr>
      <w:r>
        <w:t>从训练状态和反馈来源看，可以将相关方法作如下区分：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37" w:name="_RefTable2_1"/>
      <w:r>
        <w:rPr>
          <w:rFonts w:ascii="Times New Roman" w:hAnsi="Times New Roman" w:eastAsia="Songti SC"/>
          <w:sz w:val="21"/>
        </w:rPr>
        <w:t>2-</w:t>
      </w:r>
      <w:r>
        <w:rPr>
          <w:rFonts w:ascii="Times New Roman" w:hAnsi="Times New Roman" w:eastAsia="Songti SC"/>
          <w:sz w:val="21"/>
        </w:rPr>
        <w:fldChar w:fldCharType="begin" w:dirty="true"/>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7"/>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 OPD 分布偏移问题的对照背景</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说明为什么要让教师观察学生前缀</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说明密集教师反馈与稀疏奖励的差异</w:t>
            </w:r>
          </w:p>
        </w:tc>
      </w:tr>
    </w:tbl>
    <w:p w14:paraId="43527EF3">
      <w:pPr>
        <w:ind w:firstLine="420" w:firstLineChars="0"/>
        <w:jc w:val="both"/>
      </w:pPr>
      <w:r>
        <w:t>实际系统可以先使用 SFT 再进行 OPD，也可以将教师反馈与任务奖励结合。本课题聚焦 LoRA-OPD 路线，主要研究学生策略采样、教师分布反馈、散度方向和监督信息粒度；RLHF、DPO 等其他后训练方法仅作为研究背景。</w:t>
      </w:r>
    </w:p>
    <w:p w14:paraId="0CA6A73A">
      <w:pPr>
        <w:spacing w:before="0" w:after="0" w:line="360" w:lineRule="auto"/>
        <w:ind w:firstLine="420"/>
        <w:jc w:val="both"/>
      </w:pPr>
      <w:r>
        <w:rPr>
          <w:rFonts w:ascii="Times New Roman" w:hAnsi="Times New Roman" w:eastAsia="宋体"/>
          <w:sz w:val="24"/>
        </w:rPr>
        <w:t>经典知识蒸馏以教师软分布为监督，通过温度缩放暴露类别之间的相对关系[1]。在序列生成任务中，Kim 和 Rush 将蒸馏扩展到序列级目标，用教师生成序列替代或补充原始标签[2]；TinyBERT、DistilBERT 等工作又表明，中间层、注意力与输出分布可以在不同阶段组合使用[3][4]。这些方法奠定了大模型压缩的基本范式，但多数训练样本仍来自固定语料或教师轨迹，学生实际推理时产生的前缀并未充分进入训练分布。</w:t>
      </w:r>
    </w:p>
    <w:p w14:paraId="4D703704">
      <w:pPr>
        <w:spacing w:before="0" w:after="0" w:line="360" w:lineRule="auto"/>
        <w:ind w:firstLine="420"/>
        <w:jc w:val="both"/>
      </w:pPr>
      <w:r>
        <w:rPr>
          <w:rFonts w:ascii="Times New Roman" w:hAnsi="Times New Roman" w:eastAsia="宋体"/>
          <w:sz w:val="24"/>
        </w:rPr>
        <w:t>模仿学习中的 DAgger 揭示了一个与语言模型生成高度相关的问题：当学习器在部署时依据自身预测不断推进状态，早期误差会改变后续输入分布，离线监督可能因此发生误差累积[5]。ImitKD 将这一思想引入神经机器翻译，在学生生成状态上查询教师并进行交互式蒸馏[6]。由此看，在线策略蒸馏的理论动机并非单纯追求更强教师，而是让监督发生在学生真正会访问的序列状态上，从而缩小训练分布与推理分布之间的偏移。</w:t>
      </w:r>
    </w:p>
    <w:p w14:paraId="24D76E42">
      <w:pPr>
        <w:pStyle w:val="3"/>
      </w:pPr>
      <w:bookmarkStart w:id="8" w:name="_Toc1989024866"/>
      <w:r>
        <w:rPr>
          <w:rFonts w:ascii="黑体" w:hAnsi="黑体" w:eastAsia="黑体" w:cs="黑体"/>
          <w:b/>
          <w:color w:val="000000"/>
          <w:sz w:val="24"/>
        </w:rPr>
        <w:t>2.2 分布偏移与在线策略蒸馏</w:t>
      </w:r>
      <w:bookmarkEnd w:id="8"/>
    </w:p>
    <w:p w14:paraId="7027805E">
      <w:pPr>
        <w:ind w:firstLine="420"/>
        <w:jc w:val="both"/>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14:paraId="6D834263">
      <w:pPr>
        <w:ind w:firstLine="420"/>
        <w:jc w:val="both"/>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14:paraId="6F1DB8D0">
      <w:pPr>
        <w:ind w:firstLine="420"/>
        <w:jc w:val="both"/>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14:paraId="29B55A45">
      <w:pPr>
        <w:ind w:firstLine="420"/>
        <w:jc w:val="both"/>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14:paraId="4737EE54">
      <w:pPr>
        <w:ind w:firstLine="420"/>
        <w:jc w:val="both"/>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14:paraId="5333E2F1">
      <w:pPr>
        <w:spacing w:before="0" w:after="0" w:line="360" w:lineRule="auto"/>
        <w:ind w:firstLine="420"/>
        <w:jc w:val="both"/>
      </w:pPr>
      <w:r>
        <w:rPr>
          <w:rFonts w:ascii="Times New Roman" w:hAnsi="Times New Roman" w:eastAsia="宋体"/>
          <w:sz w:val="24"/>
        </w:rPr>
        <w:t>在线策略蒸馏并不是简单地把教师 logits 换到新的数据批次上，而是改变了训练状态的来源。GKD 允许学生在训练过程中生成序列，并在这些学生到访状态上接受教师分布监督，同时把传统 Forward KL 扩展为可配置的散度族[7]。MiniLLM 则从序列级优化出发采用 Reverse KL，使学生更集中地拟合教师分布中与自身生成轨迹相容的高概率区域[8]。DistiLLM 进一步使用偏斜 KL 与自适应采样机制缓和纯 Reverse KL 的过度模式选择倾向，并讨论如何复用教师反馈以提高训练效率[9]。这些工作共同说明，在线策略蒸馏的关键变量至少包括状态分布、散度方向和教师信息的获取方式，三者不能彼此替代。</w:t>
      </w:r>
    </w:p>
    <w:p w14:paraId="2D5A62DC">
      <w:pPr>
        <w:spacing w:before="0" w:after="0" w:line="360" w:lineRule="auto"/>
        <w:ind w:firstLine="420"/>
        <w:jc w:val="both"/>
      </w:pPr>
      <w:r>
        <w:rPr>
          <w:rFonts w:ascii="Times New Roman" w:hAnsi="Times New Roman" w:eastAsia="宋体"/>
          <w:sz w:val="24"/>
        </w:rPr>
        <w:t>近期研究开始把注意力从“是否使用学生生成数据”推进到“学生究竟访问了哪些状态”。相关分析指出，即使采用同一教师和同一损失，不同 rollout 策略、数据混合比例与初始学生能力也会改变教师监督实际覆盖的状态区域[11][12]；另有研究重新审视在线蒸馏中的数据来源、采样预算和训练稳定性，强调性能增益应与额外教师推理成本一并报告[13]。HPD 从异构偏好角度讨论教师与学生分布差异，说明单一 KL 方向并不一定适用于所有样本和训练阶段[14]。因此，本课题不把在线策略蒸馏视为一个孤立算法名称，而把它作为受控实验框架，用同一数据、模型、预算和评测协议分离考察不同设计因素。</w:t>
      </w:r>
    </w:p>
    <w:p w14:paraId="6975A843">
      <w:pPr>
        <w:pStyle w:val="3"/>
      </w:pPr>
      <w:bookmarkStart w:id="9" w:name="_Toc1810473660"/>
      <w:r>
        <w:rPr>
          <w:rFonts w:ascii="黑体" w:hAnsi="黑体" w:eastAsia="黑体" w:cs="黑体"/>
          <w:b/>
          <w:color w:val="000000"/>
          <w:sz w:val="24"/>
        </w:rPr>
        <w:t>2.3 KL 散度方向与广义散度</w:t>
      </w:r>
      <w:bookmarkEnd w:id="9"/>
    </w:p>
    <w:p w14:paraId="696D2E03">
      <w:pPr>
        <w:ind w:firstLine="420"/>
        <w:jc w:val="both"/>
      </w:pPr>
      <w:r>
        <w:t>KL 散度的经典定义来自 Kullback 和 Leibler 的信息论研究[17]。令 p_T 和 p_S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14:paraId="5283D502">
      <w:pPr>
        <w:ind w:firstLine="420"/>
        <w:jc w:val="both"/>
      </w:pPr>
      <w:r>
        <w:t>广义散度用于在不同分布匹配偏好之间取得折中。Jensen-Shannon 散度通过教师分布与学生分布的混合分布定义，其形式为[18]：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广义散度部分主要分析 JSD、skew KL 等代表性目标，研究其在教师分布覆盖、学生高概率区域和训练稳定性方面的差异。实验配置统一记录目标函数形式、混合参数、支持集和 K1 估计方式。</w:t>
      </w:r>
    </w:p>
    <w:p w14:paraId="13AF46E7">
      <w:pPr>
        <w:ind w:firstLine="420"/>
        <w:jc w:val="both"/>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14:paraId="59F60855">
      <w:pPr>
        <w:ind w:firstLine="420"/>
        <w:jc w:val="both"/>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14:paraId="58810188">
      <w:pPr>
        <w:spacing w:before="0" w:after="0" w:line="360" w:lineRule="auto"/>
        <w:ind w:firstLine="420"/>
        <w:jc w:val="both"/>
      </w:pPr>
      <w:r>
        <w:rPr>
          <w:rFonts w:ascii="Times New Roman" w:hAnsi="Times New Roman" w:eastAsia="宋体"/>
          <w:sz w:val="24"/>
        </w:rPr>
        <w:t>从分布几何看，Forward KL 对教师分布具有覆盖倾向：只要教师在某个 token 上赋予不可忽略的概率，学生过低的概率就会带来较大惩罚；Reverse KL 更强调学生当前支持集上的概率质量，容易把更新集中到少数高概率模式。前者有助于保留教师分布中的次优但合理候选，后者在学生容量有限时可能更符合“优先学会最可能答案”的资源分配方式[8][10]。然而，这种差异会受到温度、序列长度、有效 token Mask 和支持集截断方式影响，不能仅依据损失名称推断最终效果。</w:t>
      </w:r>
    </w:p>
    <w:p w14:paraId="63D91097">
      <w:pPr>
        <w:spacing w:before="0" w:after="0" w:line="360" w:lineRule="auto"/>
        <w:ind w:firstLine="420"/>
        <w:jc w:val="both"/>
      </w:pPr>
      <w:r>
        <w:rPr>
          <w:rFonts w:ascii="Times New Roman" w:hAnsi="Times New Roman" w:eastAsia="宋体"/>
          <w:sz w:val="24"/>
        </w:rPr>
        <w:t>广义散度的意义在于提供连续的折中机制。GKD 使用可调散度族统一若干常见目标[7]，DistiLLM 通过偏斜 KL 在分布覆盖与模式选择之间调节[9]，HPD 则从异构性出发讨论样本级或阶段级适配的必要性[14]。对小模型而言，散度选择还与数值实现直接相关：Top-K 后的重新归一化、教师概率下界、混合精度下的 log-sum-exp 以及序列 Mask 都会改变梯度尺度。本课题因而把散度定义、支持集协议和稳定化实现绑定记录，使比较能够追溯到实际计算过程，而不是停留在公式层面。</w:t>
      </w:r>
    </w:p>
    <w:p w14:paraId="423F288F">
      <w:pPr>
        <w:pStyle w:val="3"/>
      </w:pPr>
      <w:bookmarkStart w:id="10" w:name="_Toc935009277"/>
      <w:r>
        <w:rPr>
          <w:rFonts w:ascii="黑体" w:hAnsi="黑体" w:eastAsia="黑体" w:cs="黑体"/>
          <w:b/>
          <w:color w:val="000000"/>
          <w:sz w:val="24"/>
        </w:rPr>
        <w:t>2.4 监督信息粒度与资源效率</w:t>
      </w:r>
      <w:bookmarkEnd w:id="10"/>
    </w:p>
    <w:p w14:paraId="4D88B3D8">
      <w:pPr>
        <w:ind w:firstLine="420"/>
        <w:jc w:val="both"/>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14:paraId="4D26498B">
      <w:pPr>
        <w:ind w:firstLine="420"/>
        <w:jc w:val="both"/>
      </w:pPr>
      <w:r>
        <w:t>Qwen3 技术报告提供了模型家族的背景信息[16]。LoRA 通过低秩增量减少需要更新的参数量[19]，为小模型后训练提供了参数高效的实现路径。量化适配会引入新的资源变量，因此不纳入主要比较。</w:t>
      </w:r>
    </w:p>
    <w:p w14:paraId="7BE9DE7C">
      <w:pPr>
        <w:spacing w:before="0" w:after="0" w:line="360" w:lineRule="auto"/>
        <w:ind w:firstLine="420"/>
        <w:jc w:val="both"/>
      </w:pPr>
      <w:r>
        <w:rPr>
          <w:rFonts w:ascii="Times New Roman" w:hAnsi="Times New Roman" w:eastAsia="宋体"/>
          <w:sz w:val="24"/>
        </w:rPr>
        <w:t>监督信息粒度决定了教师知识的表达能力和计算代价。全词表分布最完整，能够保留长尾 token 之间的相对关系，但需要传输或即时计算大量 logits；Top-K 只保留主要概率质量，显著降低存储和通信压力，却引入支持集选择与尾部质量处理问题；K1 sampled-token 进一步把监督压缩为单样本估计，计算开销最低，但梯度方差、proposal 分布和随机种子会直接影响训练稳定性。相关在线蒸馏研究已经表明，教师信息量与最终性能并非简单线性关系，学生到访状态是否有效以及有限预算是否被用于高价值 token 同样重要[11][13]。</w:t>
      </w:r>
    </w:p>
    <w:p w14:paraId="3028239A">
      <w:pPr>
        <w:spacing w:before="0" w:after="0" w:line="360" w:lineRule="auto"/>
        <w:ind w:firstLine="420"/>
        <w:jc w:val="both"/>
      </w:pPr>
      <w:r>
        <w:rPr>
          <w:rFonts w:ascii="Times New Roman" w:hAnsi="Times New Roman" w:eastAsia="宋体"/>
          <w:sz w:val="24"/>
        </w:rPr>
        <w:t>参数高效微调为本科阶段开展受控研究提供了现实路径。LoRA 通过低秩增量限制可训练参数规模[17]，QLoRA 又展示了量化基座与低秩适配结合的可行性[18]；在本课题中，LoRA 的作用是统一学生侧的更新接口，而不是替代蒸馏方法本身。教师前向、学生 rollout、损失计算和 LoRA 反向传播仍构成主要成本，因此实验除任务指标外还需记录单步耗时、峰值显存、有效 token 吞吐与教师调用量，以判断某种监督粒度带来的收益是否足以抵偿资源消耗。</w:t>
      </w:r>
    </w:p>
    <w:p w14:paraId="2ED621A1">
      <w:pPr>
        <w:pStyle w:val="3"/>
      </w:pPr>
      <w:bookmarkStart w:id="11" w:name="_Toc1563073440"/>
      <w:r>
        <w:rPr>
          <w:rFonts w:ascii="黑体" w:hAnsi="黑体" w:eastAsia="黑体" w:cs="黑体"/>
          <w:b/>
          <w:color w:val="000000"/>
          <w:sz w:val="24"/>
        </w:rPr>
        <w:t>2.5 Function Calling 数据与评测研究</w:t>
      </w:r>
      <w:bookmarkEnd w:id="11"/>
    </w:p>
    <w:p w14:paraId="2320FC66">
      <w:pPr>
        <w:ind w:firstLine="420"/>
        <w:jc w:val="both"/>
      </w:pPr>
      <w:r>
        <w:t>Function Calling 研究形成了从 API 文档理解、函数检索、调用规划到执行评测的不同路线。Gorilla/APIBench 关注 API 文档和调用正确性[22]；API-Bank 覆盖工具规划、API 检索和调用[23]；ToolLLM/ToolBench 构造了大量真实 API 相关任务，并讨论多工具和多步调用[24]；APIGen 强调可执行 API、格式检查和语义验证[25]；ToolACE 采用 API 池和多层检查生成多样的函数调用数据[26]。</w:t>
      </w:r>
    </w:p>
    <w:p w14:paraId="41ED9722">
      <w:pPr>
        <w:ind w:firstLine="420"/>
        <w:jc w:val="both"/>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14:paraId="651AE3DD">
      <w:pPr>
        <w:ind w:firstLine="420"/>
        <w:jc w:val="both"/>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14:paraId="034FA389">
      <w:pPr>
        <w:ind w:firstLine="420"/>
        <w:jc w:val="both"/>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14:paraId="6145C566">
      <w:pPr>
        <w:ind w:firstLine="420"/>
        <w:jc w:val="both"/>
      </w:pPr>
      <w:r>
        <w:t>BFCL 覆盖结构化调用、并行调用、串行调用和拒答等评测场景[27]。本课题将结合公开 Function Calling 测试规范和自建模拟函数，分别评估格式合法率、函数选择准确率、参数准确率、调用执行成功率和端到端任务成功率。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数据研究经历了从少量人工接口描述到大规模合成、执行校验和难例生成的发展。Gorilla 关注 API 检索与调用生成[21]，API-Bank 和 ToolLLM/ToolBench 将多工具、多轮交互与工具学习过程纳入数据构造[23][26]；APIGen 强调可验证的函数调用数据生成流程[24]，ToolACE 则进一步扩展工具类型和调用模式[25]。这些数据集在 schema 形式、参数约束、对话模板和可执行性方面并不完全一致，直接拼接容易把模板差异误当成模型能力差异，因此训练前的字段映射、去重、可解析性检查和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评测方面，Berkeley Function Calling Leaderboard 采用真实与合成场景检验函数选择、参数生成及多轮调用能力，为统一测试提供了较成熟的任务划分[22]。但仅报告总体准确率仍可能掩盖不同错误来源：模型可能选错函数、遗漏必需参数、生成不可解析 JSON，或在无需调用时过度调用。本课题将在统一解码协议下分层统计结构合法率、函数选择正确率、参数级正确性和端到端成功率，并把训练效率、推理吞吐和显存占用纳入性能分析。这样既能对应公开评测，又能解释不同蒸馏目标和监督粒度为何产生差异。</w:t>
      </w:r>
    </w:p>
    <w:p w14:paraId="58E976CF">
      <w:pPr>
        <w:spacing w:before="0" w:after="0" w:line="360" w:lineRule="auto"/>
        <w:ind w:firstLine="420"/>
        <w:jc w:val="both"/>
      </w:pPr>
      <w:r>
        <w:rPr>
          <w:rFonts w:ascii="Times New Roman" w:hAnsi="Times New Roman" w:eastAsia="宋体"/>
          <w:sz w:val="24"/>
        </w:rPr>
        <w:t>综上，现有研究已经形成从学生状态采样、教师分布监督到参数高效更新的完整技术链条，但不同论文往往同时改变模型规模、数据来源、散度目标和教师信息预算，结果难以直接横向比较。本文将以 Qwen3-4B 教师、Qwen3-0.6B 学生和公开 Function Calling 数据为统一载体，围绕 Forward KL、Reverse KL、广义散度以及全词表、Top-K、K1 三类监督方式开展受控性能分析；这一安排是对既有方法变量的系统化复现与比较，不预设尚未获得实验支持的结论。</w:t>
      </w:r>
    </w:p>
    <w:p w14:paraId="779437DC">
      <w:pPr>
        <w:pStyle w:val="2"/>
      </w:pPr>
      <w:bookmarkStart w:id="12" w:name="_Toc407852329"/>
      <w:r>
        <w:rPr>
          <w:rFonts w:ascii="黑体" w:hAnsi="黑体" w:eastAsia="黑体" w:cs="黑体"/>
          <w:b/>
          <w:color w:val="000000"/>
          <w:sz w:val="28"/>
        </w:rPr>
        <w:t>3．主要研究内容</w:t>
      </w:r>
      <w:bookmarkEnd w:id="12"/>
    </w:p>
    <w:p w14:paraId="7167A508">
      <w:pPr>
        <w:pStyle w:val="3"/>
      </w:pPr>
      <w:bookmarkStart w:id="13" w:name="_Toc6292279"/>
      <w:r>
        <w:rPr>
          <w:rFonts w:ascii="黑体" w:hAnsi="黑体" w:eastAsia="黑体" w:cs="黑体"/>
          <w:b/>
          <w:color w:val="000000"/>
          <w:sz w:val="24"/>
        </w:rPr>
        <w:t>3.1 统一的在线策略蒸馏研究流程</w:t>
      </w:r>
      <w:bookmarkEnd w:id="13"/>
    </w:p>
    <w:p w14:paraId="12EADE85">
      <w:pPr>
        <w:ind w:firstLine="420"/>
        <w:jc w:val="both"/>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14:paraId="3EBAB668">
      <w:pPr>
        <w:pStyle w:val="3"/>
      </w:pPr>
      <w:bookmarkStart w:id="14" w:name="_Toc527634450"/>
      <w:r>
        <w:rPr>
          <w:rFonts w:ascii="黑体" w:hAnsi="黑体" w:eastAsia="黑体" w:cs="黑体"/>
          <w:b/>
          <w:color w:val="000000"/>
          <w:sz w:val="24"/>
        </w:rPr>
        <w:t>3.2 三类散度目标</w:t>
      </w:r>
      <w:bookmarkEnd w:id="14"/>
    </w:p>
    <w:p w14:paraId="673FAEE9">
      <w:pPr>
        <w:ind w:firstLine="420"/>
        <w:jc w:val="both"/>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14:paraId="60FC92F0">
      <w:pPr>
        <w:pStyle w:val="3"/>
      </w:pPr>
      <w:bookmarkStart w:id="15" w:name="_Toc992222687"/>
      <w:r>
        <w:rPr>
          <w:rFonts w:ascii="黑体" w:hAnsi="黑体" w:eastAsia="黑体" w:cs="黑体"/>
          <w:b/>
          <w:color w:val="000000"/>
          <w:sz w:val="24"/>
        </w:rPr>
        <w:t>3.3 三种监督信息粒度/估计方式</w:t>
      </w:r>
      <w:bookmarkEnd w:id="15"/>
    </w:p>
    <w:p w14:paraId="4F2557E3">
      <w:pPr>
        <w:ind w:firstLine="420"/>
        <w:jc w:val="both"/>
      </w:pPr>
      <w:r>
        <w:t>研究内容二是统一比较三种监督信息粒度/估计方式：</w:t>
      </w:r>
    </w:p>
    <w:p w14:paraId="640A89EA">
      <w:pPr>
        <w:pStyle w:val="17"/>
        <w:ind w:firstLine="420"/>
        <w:jc w:val="left"/>
      </w:pPr>
      <w:r>
        <w:t xml:space="preserve">• </w:t>
      </w:r>
      <w:r>
        <w:rPr>
          <w:b/>
        </w:rPr>
        <w:t>全词表：</w:t>
      </w:r>
      <w:r>
        <w:t xml:space="preserve"> 使用教师完整词表分布进行比较，作为信息完整的参照。</w:t>
      </w:r>
    </w:p>
    <w:p w14:paraId="4EFC209D">
      <w:pPr>
        <w:pStyle w:val="17"/>
        <w:ind w:firstLine="420"/>
        <w:jc w:val="left"/>
      </w:pPr>
      <w:r>
        <w:t xml:space="preserve">• </w:t>
      </w:r>
      <w:r>
        <w:rPr>
          <w:b/>
        </w:rPr>
        <w:t>Top-K：</w:t>
      </w:r>
      <w:r>
        <w:t xml:space="preserve"> 使用指定支持集中的教师高概率 token，考察压缩教师反馈后的效果与资源变化。</w:t>
      </w:r>
    </w:p>
    <w:p w14:paraId="1B3DFD7F">
      <w:pPr>
        <w:pStyle w:val="17"/>
        <w:ind w:firstLine="420"/>
        <w:jc w:val="left"/>
      </w:pPr>
      <w:r>
        <w:t>• K1 sampled-token：从教师分布采样一个 token，对相应期望进行单样本估计，并分析其估计方差；该方法与 Top-1 argmax 硬标签监督分别记录。</w:t>
      </w:r>
    </w:p>
    <w:p w14:paraId="3A0B4D9F">
      <w:pPr>
        <w:ind w:firstLine="420"/>
        <w:jc w:val="both"/>
      </w:pPr>
      <w:r>
        <w:t>Top-K 统一规定支持集构造、归一化和支持集外概率处理，K1 统一规定 proposal、梯度估计和随机种子管理。比较内容包括 Function Calling 的格式、函数选择、参数与执行结果，以及训练稳定性和资源开销。</w:t>
      </w:r>
    </w:p>
    <w:p w14:paraId="205E7875">
      <w:pPr>
        <w:pStyle w:val="3"/>
      </w:pPr>
      <w:bookmarkStart w:id="16" w:name="_Toc1076181454"/>
      <w:r>
        <w:rPr>
          <w:rFonts w:ascii="黑体" w:hAnsi="黑体" w:eastAsia="黑体" w:cs="黑体"/>
          <w:b/>
          <w:color w:val="000000"/>
          <w:sz w:val="24"/>
        </w:rPr>
        <w:t>3.4 LoRA 后训练与教师—学生关系</w:t>
      </w:r>
      <w:bookmarkEnd w:id="16"/>
    </w:p>
    <w:p w14:paraId="29B0CF71">
      <w:pPr>
        <w:ind w:firstLine="420"/>
        <w:jc w:val="both"/>
      </w:pPr>
      <w:r>
        <w:t>LoRA 将基座权重写为低秩增量形式[19]：</w:t>
      </w:r>
    </w:p>
    <w:p w14:paraId="339B91BA">
      <w:pPr>
        <w:ind w:firstLine="0"/>
        <w:jc w:val="center"/>
      </w:pPr>
      <m:oMathPara>
        <m:oMath>
          <m:r>
            <m:rPr/>
            <m:t>W=</m:t>
          </m:r>
          <m:sSub>
            <m:sSubPr/>
            <m:e>
              <m:r>
                <m:rPr/>
                <m:t>W</m:t>
              </m:r>
            </m:e>
            <m:sub>
              <m:r>
                <m:rPr/>
                <m:t>0</m:t>
              </m:r>
            </m:sub>
          </m:sSub>
          <m:r>
            <m:rPr/>
            <m:t>+</m:t>
          </m:r>
          <m:r>
            <m:rPr>
              <m:sty m:val="p"/>
            </m:rPr>
            <m:t>ΔW</m:t>
          </m:r>
          <m:r>
            <m:rPr/>
            <m:t>=</m:t>
          </m:r>
          <m:sSub>
            <m:sSubPr/>
            <m:e>
              <m:r>
                <m:rPr/>
                <m:t>W</m:t>
              </m:r>
            </m:e>
            <m:sub>
              <m:r>
                <m:rPr/>
                <m:t>0</m:t>
              </m:r>
            </m:sub>
          </m:sSub>
          <m:r>
            <m:rPr/>
            <m:t>+</m:t>
          </m:r>
          <m:f>
            <m:fPr/>
            <m:num>
              <m:r>
                <m:rPr/>
                <m:t>α</m:t>
              </m:r>
            </m:num>
            <m:den>
              <m:r>
                <m:rPr/>
                <m:t>r</m:t>
              </m:r>
            </m:den>
          </m:f>
          <m:r>
            <m:rPr>
              <m:sty m:val="p"/>
            </m:rPr>
            <m:t>BA</m:t>
          </m:r>
        </m:oMath>
      </m:oMathPara>
    </w:p>
    <w:p w14:paraId="15620CF4">
      <w:pPr>
        <w:ind w:firstLine="420"/>
        <w:jc w:val="both"/>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14:paraId="4B847B83">
      <w:pPr>
        <w:ind w:firstLine="420"/>
        <w:jc w:val="both"/>
      </w:pPr>
      <w:r>
        <w:t>LoRA 用于控制可训练参数规模，使多个蒸馏方案从相同的学生基座出发。实验分别记录 LoRA adapter 的保存、加载与合并方式，以及部署后端中的加载配置，从而区分训练参数变化和服务加载方式带来的影响。</w:t>
      </w:r>
    </w:p>
    <w:p w14:paraId="5A4303B3">
      <w:pPr>
        <w:pStyle w:val="3"/>
      </w:pPr>
      <w:bookmarkStart w:id="17" w:name="_Toc1274422344"/>
      <w:r>
        <w:rPr>
          <w:rFonts w:ascii="黑体" w:hAnsi="黑体" w:eastAsia="黑体" w:cs="黑体"/>
          <w:b/>
          <w:color w:val="000000"/>
          <w:sz w:val="24"/>
        </w:rPr>
        <w:t>3.5 Function Calling 评测与推理性能分析</w:t>
      </w:r>
      <w:bookmarkEnd w:id="17"/>
    </w:p>
    <w:p w14:paraId="4EAA3AD5">
      <w:pPr>
        <w:ind w:firstLine="420"/>
        <w:jc w:val="both"/>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14:paraId="1FCC2348">
      <w:pPr>
        <w:pStyle w:val="3"/>
      </w:pPr>
      <w:bookmarkStart w:id="18" w:name="_Toc214440430"/>
      <w:r>
        <w:rPr>
          <w:rFonts w:ascii="黑体" w:hAnsi="黑体" w:eastAsia="黑体" w:cs="黑体"/>
          <w:b/>
          <w:color w:val="000000"/>
          <w:sz w:val="24"/>
        </w:rPr>
        <w:t>3.6 研究问题</w:t>
      </w:r>
      <w:bookmarkEnd w:id="18"/>
    </w:p>
    <w:p w14:paraId="22062AA4">
      <w:pPr>
        <w:ind w:firstLine="420"/>
        <w:jc w:val="both"/>
      </w:pPr>
      <w:r>
        <w:t>本课题将回答以下问题：</w:t>
      </w:r>
    </w:p>
    <w:p w14:paraId="4CBECB2D">
      <w:pPr>
        <w:pStyle w:val="17"/>
        <w:ind w:firstLine="420"/>
        <w:jc w:val="left"/>
      </w:pPr>
      <w:r>
        <w:t>1. 在 Qwen3 Function Calling 条件下，三类散度是否表现出可解释的工具选择、参数生成或格式差异？</w:t>
      </w:r>
    </w:p>
    <w:p w14:paraId="1B0E1F7E">
      <w:pPr>
        <w:pStyle w:val="17"/>
        <w:ind w:firstLine="420"/>
        <w:jc w:val="left"/>
      </w:pPr>
      <w:r>
        <w:t>2. 全词表、Top-K 和 K1 在效果、稳定性和教师反馈开销之间如何权衡？</w:t>
      </w:r>
    </w:p>
    <w:p w14:paraId="0D13CECE">
      <w:pPr>
        <w:pStyle w:val="17"/>
        <w:ind w:firstLine="420"/>
        <w:jc w:val="left"/>
      </w:pPr>
      <w:r>
        <w:t>3. 支持集外 token、前缀偏移、熵变化和格式错误能否解释 Top-K/K1 的失败模式？</w:t>
      </w:r>
    </w:p>
    <w:p w14:paraId="7665B72E">
      <w:pPr>
        <w:pStyle w:val="17"/>
        <w:ind w:firstLine="420"/>
        <w:jc w:val="left"/>
      </w:pPr>
      <w:r>
        <w:t>4. 不同蒸馏目标在任务正确率、训练效率和推理性能上的变化是否一致？</w:t>
      </w:r>
    </w:p>
    <w:p w14:paraId="68D892AB">
      <w:pPr>
        <w:ind w:firstLine="420"/>
        <w:jc w:val="both"/>
      </w:pPr>
      <w:r>
        <w:t>上述研究问题构成实验设计、结果分析和论文讨论的主线。</w:t>
      </w:r>
    </w:p>
    <w:p w14:paraId="45BFC255">
      <w:pPr>
        <w:pStyle w:val="3"/>
      </w:pPr>
      <w:bookmarkStart w:id="19" w:name="_Toc622747344"/>
      <w:r>
        <w:rPr>
          <w:rFonts w:ascii="黑体" w:hAnsi="黑体" w:eastAsia="黑体" w:cs="黑体"/>
          <w:b/>
          <w:color w:val="000000"/>
          <w:sz w:val="24"/>
        </w:rPr>
        <w:t>3.7 各研究内容之间的关系</w:t>
      </w:r>
      <w:bookmarkEnd w:id="19"/>
    </w:p>
    <w:p w14:paraId="7D3140CD">
      <w:pPr>
        <w:ind w:firstLine="420"/>
        <w:jc w:val="both"/>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14:paraId="2017B723">
      <w:pPr>
        <w:ind w:firstLine="420"/>
        <w:jc w:val="both"/>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14:paraId="575D3309">
      <w:pPr>
        <w:pStyle w:val="2"/>
      </w:pPr>
      <w:bookmarkStart w:id="20" w:name="_Toc1826798777"/>
      <w:r>
        <w:rPr>
          <w:rFonts w:ascii="黑体" w:hAnsi="黑体" w:eastAsia="黑体" w:cs="黑体"/>
          <w:b/>
          <w:color w:val="000000"/>
          <w:sz w:val="28"/>
        </w:rPr>
        <w:t>4．研究方案</w:t>
      </w:r>
      <w:bookmarkEnd w:id="20"/>
    </w:p>
    <w:p w14:paraId="1076D32B">
      <w:pPr>
        <w:pStyle w:val="3"/>
      </w:pPr>
      <w:bookmarkStart w:id="21" w:name="_Toc433343880"/>
      <w:r>
        <w:rPr>
          <w:rFonts w:ascii="黑体" w:hAnsi="黑体" w:eastAsia="黑体" w:cs="黑体"/>
          <w:b/>
          <w:color w:val="000000"/>
          <w:sz w:val="24"/>
        </w:rPr>
        <w:t>4.1 总体技术路线</w:t>
      </w:r>
      <w:bookmarkEnd w:id="21"/>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dirty="true"/>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4"/>
        </w:rPr>
        <w:t>1</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总体路线由模型与数据准备、SFT 基线、在线策略蒸馏、统一评测和结果分析组成。实验配置记录模型版本、数据版本、损失定义、支持集协议、训练参数和评测脚本。</w:t>
      </w:r>
    </w:p>
    <w:p w14:paraId="7804E4EE">
      <w:pPr>
        <w:ind w:firstLine="420"/>
        <w:jc w:val="both"/>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806440" cy="2177415"/>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38" w:name="_RefFigure1"/>
      <w:r>
        <w:rPr>
          <w:rFonts w:ascii="Times New Roman" w:hAnsi="Times New Roman" w:eastAsia="宋体"/>
          <w:sz w:val="21"/>
        </w:rPr>
        <w:fldChar w:fldCharType="begin" w:dirty="true"/>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38"/>
      <w:r>
        <w:rPr>
          <w:rFonts w:ascii="Times New Roman" w:hAnsi="Times New Roman" w:eastAsia="宋体"/>
          <w:sz w:val="21"/>
        </w:rPr>
        <w:t xml:space="preserve">  研究总体技术路线</w:t>
      </w:r>
    </w:p>
    <w:p w14:paraId="51D0960D">
      <w:pPr>
        <w:pStyle w:val="3"/>
      </w:pPr>
      <w:bookmarkStart w:id="22" w:name="_Toc1093544183"/>
      <w:r>
        <w:rPr>
          <w:rFonts w:ascii="黑体" w:hAnsi="黑体" w:eastAsia="黑体" w:cs="黑体"/>
          <w:b/>
          <w:color w:val="000000"/>
          <w:sz w:val="24"/>
        </w:rPr>
        <w:t>4.2 模型和数据准备</w:t>
      </w:r>
      <w:bookmarkEnd w:id="22"/>
    </w:p>
    <w:p w14:paraId="51F515C2">
      <w:pPr>
        <w:ind w:firstLine="420"/>
        <w:jc w:val="both"/>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14:paraId="33260523">
      <w:pPr>
        <w:ind w:firstLine="420"/>
        <w:jc w:val="both"/>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14:paraId="1EA2CC71">
      <w:pPr>
        <w:ind w:firstLine="420"/>
        <w:jc w:val="both"/>
      </w:pPr>
      <w:r>
        <w:t>数据审计重点处理三类异常：schema 语法错误、参数标签与用户意图不一致、工具返回缺失或格式不统一。评测器保存原始样本、规范化样本和失败原因，并对自动规则进行抽样复核。</w:t>
      </w:r>
    </w:p>
    <w:p w14:paraId="681BB8C6">
      <w:pPr>
        <w:pStyle w:val="3"/>
      </w:pPr>
      <w:bookmarkStart w:id="23" w:name="_Toc1032032655"/>
      <w:r>
        <w:rPr>
          <w:rFonts w:ascii="黑体" w:hAnsi="黑体" w:eastAsia="黑体" w:cs="黑体"/>
          <w:b/>
          <w:color w:val="000000"/>
          <w:sz w:val="24"/>
        </w:rPr>
        <w:t>4.3 学生 rollout 和教师反馈</w:t>
      </w:r>
      <w:bookmarkEnd w:id="2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dirty="true"/>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4"/>
        </w:rPr>
        <w:t>2</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学生 rollout 的温度、停止条件、最大生成长度、非法格式处理和重试规则均作为控制变量写入配置，所有比较组使用相同的采样与后处理协议。</w:t>
      </w:r>
    </w:p>
    <w:p w14:paraId="38107A53">
      <w:pPr>
        <w:ind w:firstLine="420"/>
        <w:jc w:val="both"/>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dirty="true"/>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学生前缀、教师模型和 token 对齐</w:t>
            </w:r>
          </w:p>
        </w:tc>
        <w:tc>
          <w:tcPr>
            <w:tcW w:w="4148" w:type="dxa"/>
          </w:tcPr>
          <w:p w14:paraId="35BEDF60">
            <w:pPr>
              <w:ind w:firstLine="0"/>
              <w:jc w:val="left"/>
            </w:pPr>
            <w:r>
              <w:t>反馈粒度、支持集、教师计算量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散度、梯度处理、异常 loss</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函数、参数、执行和端到端调用结果</w:t>
            </w:r>
          </w:p>
        </w:tc>
      </w:tr>
    </w:tbl>
    <w:p w14:paraId="1A4B1F6D">
      <w:pPr>
        <w:ind w:firstLine="420"/>
        <w:jc w:val="both"/>
      </w:pPr>
      <w:r>
        <w:t>所有方法共享数据读取、学生 rollout、教师评分和指标记录接口，保证不同对照组只改变目标函数或监督信息粒度。</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dirty="true"/>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24" w:name="_Toc147415766"/>
      <w:r>
        <w:rPr>
          <w:rFonts w:ascii="黑体" w:hAnsi="黑体" w:eastAsia="黑体" w:cs="黑体"/>
          <w:b/>
          <w:color w:val="000000"/>
          <w:sz w:val="24"/>
        </w:rPr>
        <w:t>4.4 损失与监督信息粒度/估计方式的定义原则</w:t>
      </w:r>
      <w:bookmarkEnd w:id="24"/>
    </w:p>
    <w:p w14:paraId="01830904">
      <w:pPr>
        <w:ind w:firstLine="420"/>
        <w:jc w:val="both"/>
      </w:pPr>
      <w:r>
        <w:t>在全词表和 Top-K 的分布形式下，令 p_T 和 p_S 分别表示教师与学生在有效位置的概率分布，通用 token 级目标可以写为：</w:t>
      </w:r>
    </w:p>
    <w:p w14:paraId="33555737">
      <w:pPr>
        <w:ind w:firstLine="0"/>
        <w:jc w:val="center"/>
      </w:pPr>
      <m:oMathPara>
        <m:oMath>
          <m:sSub>
            <m:sSubPr/>
            <m:e>
              <m:r>
                <m:rPr/>
                <m:t>ℒ</m:t>
              </m:r>
            </m:e>
            <m:sub>
              <m:r>
                <m:rPr>
                  <m:sty m:val="p"/>
                </m:rPr>
                <m:t>distill</m:t>
              </m:r>
            </m:sub>
          </m:sSub>
          <m:r>
            <m:rPr/>
            <m:t>=</m:t>
          </m:r>
          <m:f>
            <m:fPr/>
            <m:num>
              <m:nary>
                <m:naryPr>
                  <m:chr m:val="∑"/>
                  <m:grow m:val="1"/>
                  <m:limLoc m:val="subSup"/>
                  <m:supHide m:val="1"/>
                </m:naryPr>
                <m:sub>
                  <m:r>
                    <m:rPr/>
                    <m:t>b,t</m:t>
                  </m:r>
                </m:sub>
                <m:sup/>
                <m:e>
                  <m:sSub>
                    <m:sSubPr/>
                    <m:e>
                      <m:r>
                        <m:rPr/>
                        <m:t>m</m:t>
                      </m:r>
                    </m:e>
                    <m:sub>
                      <m:r>
                        <m:rPr/>
                        <m:t>b,t</m:t>
                      </m:r>
                    </m:sub>
                  </m:sSub>
                  <m:r>
                    <m:rPr/>
                    <m:t>D</m:t>
                  </m:r>
                  <m:d>
                    <m:dPr>
                      <m:sepChr m:val=","/>
                    </m:dPr>
                    <m:e>
                      <m:sSub>
                        <m:sSubPr/>
                        <m:e>
                          <m:r>
                            <m:rPr/>
                            <m:t>p</m:t>
                          </m:r>
                        </m:e>
                        <m:sub>
                          <m:r>
                            <m:rPr/>
                            <m:t>T</m:t>
                          </m:r>
                        </m:sub>
                      </m:sSub>
                      <m:d>
                        <m:dPr>
                          <m:sepChr m:val=","/>
                        </m:dPr>
                        <m:e>
                          <m:r>
                            <m:rPr/>
                            <m:t>·∣</m:t>
                          </m:r>
                          <m:sSub>
                            <m:sSubPr/>
                            <m:e>
                              <m:r>
                                <m:rPr/>
                                <m:t>x</m:t>
                              </m:r>
                            </m:e>
                            <m:sub>
                              <m:r>
                                <m:rPr/>
                                <m:t>b</m:t>
                              </m:r>
                            </m:sub>
                          </m:sSub>
                          <m:r>
                            <m:rPr/>
                            <m:t>,</m:t>
                          </m:r>
                          <m:sSub>
                            <m:sSubPr/>
                            <m:e>
                              <m:r>
                                <m:rPr/>
                                <m:t>y</m:t>
                              </m:r>
                            </m:e>
                            <m:sub>
                              <m:r>
                                <m:rPr/>
                                <m:t>b,&lt;t</m:t>
                              </m:r>
                            </m:sub>
                          </m:sSub>
                        </m:e>
                      </m:d>
                      <m:r>
                        <m:rPr/>
                        <m:t>∥</m:t>
                      </m:r>
                      <m:sSub>
                        <m:sSubPr/>
                        <m:e>
                          <m:r>
                            <m:rPr/>
                            <m:t>p</m:t>
                          </m:r>
                        </m:e>
                        <m:sub>
                          <m:r>
                            <m:rPr/>
                            <m:t>S</m:t>
                          </m:r>
                        </m:sub>
                      </m:sSub>
                      <m:d>
                        <m:dPr>
                          <m:sepChr m:val=","/>
                        </m:dPr>
                        <m:e>
                          <m:r>
                            <m:rPr/>
                            <m:t>·∣</m:t>
                          </m:r>
                          <m:sSub>
                            <m:sSubPr/>
                            <m:e>
                              <m:r>
                                <m:rPr/>
                                <m:t>x</m:t>
                              </m:r>
                            </m:e>
                            <m:sub>
                              <m:r>
                                <m:rPr/>
                                <m:t>b</m:t>
                              </m:r>
                            </m:sub>
                          </m:sSub>
                          <m:r>
                            <m:rPr/>
                            <m:t>,</m:t>
                          </m:r>
                          <m:sSub>
                            <m:sSubPr/>
                            <m:e>
                              <m:r>
                                <m:rPr/>
                                <m:t>y</m:t>
                              </m:r>
                            </m:e>
                            <m:sub>
                              <m:r>
                                <m:rPr/>
                                <m:t>b,&lt;t</m:t>
                              </m:r>
                            </m:sub>
                          </m:sSub>
                        </m:e>
                      </m:d>
                    </m:e>
                  </m:d>
                </m:e>
              </m:nary>
            </m:num>
            <m:den>
              <m:nary>
                <m:naryPr>
                  <m:chr m:val="∑"/>
                  <m:grow m:val="1"/>
                  <m:limLoc m:val="subSup"/>
                  <m:supHide m:val="1"/>
                </m:naryPr>
                <m:sub>
                  <m:r>
                    <m:rPr/>
                    <m:t>b,t</m:t>
                  </m:r>
                </m:sub>
                <m:sup/>
                <m:e>
                  <m:sSub>
                    <m:sSubPr/>
                    <m:e>
                      <m:r>
                        <m:rPr/>
                        <m:t>m</m:t>
                      </m:r>
                    </m:e>
                    <m:sub>
                      <m:r>
                        <m:rPr/>
                        <m:t>b,t</m:t>
                      </m:r>
                    </m:sub>
                  </m:sSub>
                  <m:r>
                    <m:rPr/>
                    <m:t>+ε</m:t>
                  </m:r>
                </m:e>
              </m:nary>
            </m:den>
          </m:f>
        </m:oMath>
      </m:oMathPara>
    </w:p>
    <w:p w14:paraId="6E53B4B0">
      <w:pPr>
        <w:ind w:firstLine="420"/>
        <w:jc w:val="both"/>
      </w:pPr>
      <w:r>
        <w:t>其中，m 表示由消息、工具边界和响应位置共同确定的有效 token 掩码。概率计算采用 log-sum-exp、概率下界和混合精度控制避免数值溢出。K1 sampled-token 使用单独定义的采样估计器，并记录随机种子与估计方差。</w:t>
      </w:r>
    </w:p>
    <w:p w14:paraId="32BF1A8F">
      <w:pPr>
        <w:ind w:firstLine="420"/>
        <w:jc w:val="both"/>
      </w:pPr>
      <w:r>
        <w:t>监督信息粒度与散度目标的比较矩阵如下：</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1" w:name="_RefTable4_2"/>
      <w:r>
        <w:rPr>
          <w:rFonts w:ascii="Times New Roman" w:hAnsi="Times New Roman" w:eastAsia="Songti SC"/>
          <w:sz w:val="21"/>
        </w:rPr>
        <w:t>4-</w:t>
      </w:r>
      <w:r>
        <w:rPr>
          <w:rFonts w:ascii="Times New Roman" w:hAnsi="Times New Roman" w:eastAsia="Songti SC"/>
          <w:sz w:val="21"/>
        </w:rPr>
        <w:fldChar w:fldCharType="begin" w:dirty="true"/>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1"/>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完整分布对照</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比较矩阵覆盖三类目标函数和三种监督方案。各实验使用统一的数据、训练预算和评测协议，并在配置中记录损失形式、K 值、支持集、重归一化、K1 proposal、梯度估计和数值精度。</w:t>
      </w:r>
    </w:p>
    <w:p w14:paraId="7D429E15">
      <w:pPr>
        <w:ind w:firstLine="420"/>
        <w:jc w:val="both"/>
      </w:pPr>
      <w:r>
        <w:t>三种监督方案和广义散度的名称定义如下：</w:t>
      </w:r>
    </w:p>
    <w:p w14:paraId="03436525">
      <w:pPr>
        <w:pStyle w:val="17"/>
        <w:ind w:firstLine="420"/>
        <w:jc w:val="left"/>
      </w:pPr>
      <w:r>
        <w:t>• “全词表”表示教师完整输出在规定有效位置上参与分布匹配；工程实现可采用分块计算或流式处理。</w:t>
      </w:r>
    </w:p>
    <w:p w14:paraId="1E71EBD7">
      <w:pPr>
        <w:pStyle w:val="17"/>
        <w:ind w:firstLine="420"/>
        <w:jc w:val="left"/>
      </w:pPr>
      <w:r>
        <w:t>• “Top-K”表示使用明确的高概率 token 支持集，并记录支持集来源、重归一化和支持集外概率处理。</w:t>
      </w:r>
    </w:p>
    <w:p w14:paraId="2A2D1311">
      <w:pPr>
        <w:pStyle w:val="17"/>
        <w:ind w:firstLine="420"/>
        <w:jc w:val="left"/>
      </w:pPr>
      <w:r>
        <w:t>• “K1 sampled-token”表示每个位置使用一个采样 token 估计相应期望，与选择最大概率 token 的硬标签方法分开记录。</w:t>
      </w:r>
    </w:p>
    <w:p w14:paraId="718B00F7">
      <w:pPr>
        <w:pStyle w:val="17"/>
        <w:ind w:firstLine="420"/>
        <w:jc w:val="left"/>
      </w:pPr>
      <w:r>
        <w:t>• “广义散度”分析 JSD、skew KL 等代表性目标，并在实验配置中记录具体公式、混合参数和梯度计算规则。</w:t>
      </w:r>
    </w:p>
    <w:p w14:paraId="4DC19C45">
      <w:pPr>
        <w:ind w:firstLine="420"/>
        <w:jc w:val="both"/>
      </w:pPr>
      <w:r>
        <w:t>师生词表、token 边界和特殊 token 需要保持可对齐。正式训练前通过 tokenizer 单元测试、模板回环测试和小批量损失/梯度测试验证对数概率、Mask、padding 和梯度传播的正确性。</w:t>
      </w:r>
    </w:p>
    <w:p w14:paraId="264AD57D">
      <w:pPr>
        <w:pStyle w:val="3"/>
      </w:pPr>
      <w:bookmarkStart w:id="25" w:name="_Toc1568134171"/>
      <w:r>
        <w:rPr>
          <w:rFonts w:ascii="黑体" w:hAnsi="黑体" w:eastAsia="黑体" w:cs="黑体"/>
          <w:b/>
          <w:color w:val="000000"/>
          <w:sz w:val="24"/>
        </w:rPr>
        <w:t>4.5 评价指标和公平性</w:t>
      </w:r>
      <w:bookmarkEnd w:id="25"/>
    </w:p>
    <w:p w14:paraId="1E75A657">
      <w:pPr>
        <w:ind w:firstLine="420"/>
        <w:jc w:val="both"/>
      </w:pPr>
      <w:r>
        <w:t>评价指标分为任务效果、训练稳定性、分布与误差分析、资源与部署四类：</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42" w:name="_RefTable4_3"/>
      <w:r>
        <w:rPr>
          <w:rFonts w:ascii="Times New Roman" w:hAnsi="Times New Roman" w:eastAsia="Songti SC"/>
          <w:sz w:val="21"/>
        </w:rPr>
        <w:t>4-</w:t>
      </w:r>
      <w:r>
        <w:rPr>
          <w:rFonts w:ascii="Times New Roman" w:hAnsi="Times New Roman" w:eastAsia="Songti SC"/>
          <w:sz w:val="21"/>
        </w:rPr>
        <w:fldChar w:fldCharType="begin" w:dirty="true"/>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42"/>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JSON/结构化格式合法性、函数名、参数键和值、schema 通过率、调用执行成功率、端到端任务完成率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overlap、支持集外比例、非法输出和重复率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14:paraId="7C90D5F1">
      <w:pPr>
        <w:ind w:firstLine="420"/>
        <w:jc w:val="both"/>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14:paraId="7A0844C1">
      <w:pPr>
        <w:ind w:firstLine="420"/>
        <w:jc w:val="both"/>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14:paraId="2CC9EDD0">
      <w:pPr>
        <w:ind w:firstLine="420"/>
        <w:jc w:val="both"/>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14:paraId="2386798F">
      <w:pPr>
        <w:ind w:firstLine="420"/>
        <w:jc w:val="both"/>
      </w:pPr>
      <w:r>
        <w:t>结果分析报告完整训练曲线、验证与测试统计、重复运行波动和资源消耗。失败案例按照工具选择、结构解析、参数字段、参数值、上下文和执行环节分类，并比较不同散度和监督方案的错误分布。</w:t>
      </w:r>
    </w:p>
    <w:p w14:paraId="56ED6E07">
      <w:pPr>
        <w:pStyle w:val="3"/>
      </w:pPr>
      <w:bookmarkStart w:id="26" w:name="_Toc1711696013"/>
      <w:r>
        <w:rPr>
          <w:rFonts w:ascii="黑体" w:hAnsi="黑体" w:eastAsia="黑体" w:cs="黑体"/>
          <w:b/>
          <w:color w:val="000000"/>
          <w:sz w:val="24"/>
        </w:rPr>
        <w:t>4.6 可行性分析</w:t>
      </w:r>
      <w:bookmarkEnd w:id="26"/>
    </w:p>
    <w:p w14:paraId="40E26365">
      <w:pPr>
        <w:ind w:firstLine="420"/>
        <w:jc w:val="both"/>
      </w:pPr>
      <w:r>
        <w:t>Qwen3-0.6B 学生、Qwen3-4B 教师和 LoRA 后训练构成可实施的模型组合，PyTorch、Transformers、PEFT 与 vLLM 提供训练和部署基础。研究采用由小规模验证到正式实验的渐进方式，在固定模型、数据、接口和评测规则后逐步扩大训练规模，因此具备明确的实现路径与验证条件。</w:t>
      </w:r>
    </w:p>
    <w:p w14:paraId="6CC957E8">
      <w:pPr>
        <w:pStyle w:val="2"/>
      </w:pPr>
      <w:bookmarkStart w:id="27" w:name="_Toc783955279"/>
      <w:r>
        <w:rPr>
          <w:rFonts w:ascii="黑体" w:hAnsi="黑体" w:eastAsia="黑体" w:cs="黑体"/>
          <w:b/>
          <w:color w:val="000000"/>
          <w:sz w:val="28"/>
        </w:rPr>
        <w:t>5．进度安排，预期达到的目标</w:t>
      </w:r>
      <w:bookmarkEnd w:id="27"/>
    </w:p>
    <w:p w14:paraId="4D67942D">
      <w:pPr>
        <w:pStyle w:val="3"/>
      </w:pPr>
      <w:bookmarkStart w:id="28" w:name="_Toc1124199808"/>
      <w:r>
        <w:rPr>
          <w:rFonts w:ascii="黑体" w:hAnsi="黑体" w:eastAsia="黑体" w:cs="黑体"/>
          <w:b/>
          <w:color w:val="000000"/>
          <w:sz w:val="24"/>
        </w:rPr>
        <w:t>5.1 进度安排</w:t>
      </w:r>
      <w:bookmarkEnd w:id="28"/>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dirty="true"/>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4"/>
        </w:rPr>
        <w:t>3</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dirty="true"/>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宋体"/>
          <w:sz w:val="24"/>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43" w:name="_RefTable5_1"/>
      <w:r>
        <w:rPr>
          <w:rFonts w:ascii="Times New Roman" w:hAnsi="Times New Roman" w:eastAsia="Songti SC"/>
          <w:sz w:val="21"/>
        </w:rPr>
        <w:t>5-</w:t>
      </w:r>
      <w:r>
        <w:rPr>
          <w:rFonts w:ascii="Times New Roman" w:hAnsi="Times New Roman" w:eastAsia="Songti SC"/>
          <w:sz w:val="21"/>
        </w:rPr>
        <w:fldChar w:fldCharType="begin" w:dirty="true"/>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3"/>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3"/>
        <w:gridCol w:w="2982"/>
        <w:gridCol w:w="2737"/>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完成开题材料修改与提交；明确研究问题、模型组合、数据范围、实验变量、评价指标和复现要求。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继续文献调研；筛选公开 Function Calling 数据，完成去重、切分和字段映射；审计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接口和统一评测脚本；通过小规模试运行确定上下文长度、批大小与精度配置。</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在统一数据、训练预算和生成协议下启动主要对照实验；完成训练链路、阶段性结果和资源记录，并于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完成主要组合、必要重复实验与消融；搭建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44" w:name="_RefFigure3"/>
      <w:r>
        <w:rPr>
          <w:rFonts w:ascii="Times New Roman" w:hAnsi="Times New Roman" w:eastAsia="宋体"/>
          <w:sz w:val="21"/>
        </w:rPr>
        <w:fldChar w:fldCharType="begin" w:dirty="true"/>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4"/>
      <w:r>
        <w:rPr>
          <w:rFonts w:ascii="Times New Roman" w:hAnsi="Times New Roman" w:eastAsia="宋体"/>
          <w:sz w:val="21"/>
        </w:rPr>
        <w:t xml:space="preserve">  项目总体进度安排</w:t>
      </w:r>
    </w:p>
    <w:p w14:paraId="13935738">
      <w:pPr>
        <w:ind w:firstLine="420"/>
        <w:jc w:val="both"/>
      </w:pPr>
      <w:r>
        <w:t>进度安排覆盖 2026 年 9 月至 2027 年 5 月。2026 年内重点完成开题、数据准备、兼容性审计和训练管线实现；2027 年 2 月起开展正式实验，并在 3 月中期申请前形成阶段性结果；随后完成补充实验、部署评测和统计分析，4—5 月集中完成论文、结题和答辩材料。</w:t>
      </w:r>
    </w:p>
    <w:p w14:paraId="2E4BC355">
      <w:pPr>
        <w:pStyle w:val="3"/>
      </w:pPr>
      <w:bookmarkStart w:id="29" w:name="_Toc865046750"/>
      <w:r>
        <w:rPr>
          <w:rFonts w:ascii="黑体" w:hAnsi="黑体" w:eastAsia="黑体" w:cs="黑体"/>
          <w:b/>
          <w:color w:val="000000"/>
          <w:sz w:val="24"/>
        </w:rPr>
        <w:t>5.2 预期达到的目标</w:t>
      </w:r>
      <w:bookmarkEnd w:id="29"/>
    </w:p>
    <w:p w14:paraId="5C45F9E1">
      <w:pPr>
        <w:pStyle w:val="17"/>
        <w:ind w:firstLine="420"/>
        <w:jc w:val="left"/>
      </w:pPr>
      <w:r>
        <w:t>1. 完成 Qwen3-0.6B 学生的 LoRA 在线策略蒸馏研究流程，使用冻结的 Qwen3-4B 作为教师。</w:t>
      </w:r>
    </w:p>
    <w:p w14:paraId="661280AE">
      <w:pPr>
        <w:pStyle w:val="17"/>
        <w:ind w:firstLine="420"/>
        <w:jc w:val="left"/>
      </w:pPr>
      <w:r>
        <w:t>2. 在公开 Function Calling 数据上比较 Forward KL、Reverse KL、广义散度，以及全词表、Top-K、K1 sampled-token。</w:t>
      </w:r>
    </w:p>
    <w:p w14:paraId="4D24F9B5">
      <w:pPr>
        <w:pStyle w:val="17"/>
        <w:ind w:firstLine="420"/>
        <w:jc w:val="left"/>
      </w:pPr>
      <w:r>
        <w:t>3. 建立分层评测方法，分别分析格式、函数选择、参数生成、调用执行和端到端任务完成情况。</w:t>
      </w:r>
    </w:p>
    <w:p w14:paraId="444409D5">
      <w:pPr>
        <w:pStyle w:val="17"/>
        <w:ind w:firstLine="420"/>
        <w:jc w:val="left"/>
      </w:pPr>
      <w:r>
        <w:t>4. 记录不同方法的训练稳定性、教师反馈量、训练资源和部署表现。</w:t>
      </w:r>
    </w:p>
    <w:p w14:paraId="1F6068D2">
      <w:pPr>
        <w:pStyle w:val="17"/>
        <w:ind w:firstLine="420"/>
        <w:jc w:val="left"/>
      </w:pPr>
      <w:r>
        <w:t>5. 通过 vLLM 或自建测试程序完成最终模型验证，形成任务性能、训练资源和推理性能的对比结果。</w:t>
      </w:r>
    </w:p>
    <w:p w14:paraId="34BA0ABE">
      <w:pPr>
        <w:pStyle w:val="17"/>
        <w:ind w:firstLine="420"/>
        <w:jc w:val="left"/>
      </w:pPr>
      <w:r>
        <w:t>6. 形成中文项目文档、实验记录、毕业论文和答辩材料。</w:t>
      </w:r>
    </w:p>
    <w:p w14:paraId="11B7E0CE">
      <w:pPr>
        <w:ind w:firstLine="420"/>
        <w:jc w:val="both"/>
      </w:pPr>
      <w:r>
        <w:t>本课题的预期成果包括一套定义清晰的 OPD 方法与训练流程、一份公开数据和模型版本记录、一组能够解释方法差异的实验指标，以及一个可重复调用的最终测试流程。</w:t>
      </w:r>
    </w:p>
    <w:p w14:paraId="629A1AD4">
      <w:pPr>
        <w:pStyle w:val="2"/>
      </w:pPr>
      <w:bookmarkStart w:id="30" w:name="_Toc376437060"/>
      <w:r>
        <w:rPr>
          <w:rFonts w:ascii="黑体" w:hAnsi="黑体" w:eastAsia="黑体" w:cs="黑体"/>
          <w:b/>
          <w:color w:val="000000"/>
          <w:sz w:val="28"/>
        </w:rPr>
        <w:t>6．课题已具备和所需的条件、经费</w:t>
      </w:r>
      <w:bookmarkEnd w:id="30"/>
    </w:p>
    <w:p w14:paraId="15508BCB">
      <w:pPr>
        <w:pStyle w:val="3"/>
      </w:pPr>
      <w:bookmarkStart w:id="31" w:name="_Toc290843358"/>
      <w:r>
        <w:rPr>
          <w:rFonts w:ascii="黑体" w:hAnsi="黑体" w:eastAsia="黑体" w:cs="黑体"/>
          <w:b/>
          <w:color w:val="000000"/>
          <w:sz w:val="24"/>
        </w:rPr>
        <w:t>6.1 已具备条件</w:t>
      </w:r>
      <w:bookmarkEnd w:id="31"/>
    </w:p>
    <w:p w14:paraId="27E56054">
      <w:pPr>
        <w:ind w:firstLine="420"/>
        <w:jc w:val="both"/>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14:paraId="649F9E8B">
      <w:pPr>
        <w:pStyle w:val="3"/>
      </w:pPr>
      <w:bookmarkStart w:id="32" w:name="_Toc531537334"/>
      <w:r>
        <w:rPr>
          <w:rFonts w:ascii="黑体" w:hAnsi="黑体" w:eastAsia="黑体" w:cs="黑体"/>
          <w:b/>
          <w:color w:val="000000"/>
          <w:sz w:val="24"/>
        </w:rPr>
        <w:t>6.2 所需条件</w:t>
      </w:r>
      <w:bookmarkEnd w:id="32"/>
    </w:p>
    <w:p w14:paraId="246A73AD">
      <w:pPr>
        <w:ind w:firstLine="420"/>
        <w:jc w:val="both"/>
      </w:pPr>
      <w:r>
        <w:t>软件环境包括 Python、PyTorch、Transformers、PEFT、Datasets 和 vLLM，硬件环境需支持 Qwen3-4B 教师推理、Qwen3-0.6B 学生 rollout 和 LoRA 更新。实验将根据可用显存配置序列长度、批量大小、梯度累积、混合精度和教师输出缓存。</w:t>
      </w:r>
    </w:p>
    <w:p w14:paraId="56F2417D">
      <w:pPr>
        <w:pStyle w:val="3"/>
      </w:pPr>
      <w:bookmarkStart w:id="33" w:name="_Toc16001018"/>
      <w:r>
        <w:rPr>
          <w:rFonts w:ascii="黑体" w:hAnsi="黑体" w:eastAsia="黑体" w:cs="黑体"/>
          <w:b/>
          <w:color w:val="000000"/>
          <w:sz w:val="24"/>
        </w:rPr>
        <w:t>6.3 经费</w:t>
      </w:r>
      <w:bookmarkEnd w:id="33"/>
    </w:p>
    <w:p w14:paraId="31301070">
      <w:pPr>
        <w:spacing w:before="0" w:after="0" w:line="360" w:lineRule="auto"/>
        <w:ind w:firstLine="420"/>
        <w:jc w:val="both"/>
      </w:pPr>
      <w:r>
        <w:rPr>
          <w:rFonts w:ascii="Times New Roman" w:hAnsi="Times New Roman" w:eastAsia="宋体"/>
          <w:sz w:val="24"/>
        </w:rPr>
        <w:t>本课题的经费以 GPU 算力租赁为主，用于 Qwen3-4B 教师模型在线评分、Qwen3-0.6B 学生模型 rollout 与 LoRA 训练，以及多组对照实验和重复实验。经费按计划上限编制，实际支出根据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为减少无效支出，先在小规模数据上完成 tokenizer、模板、Schema 和损失实现审计，再启动正式训练；实验统一记录 GPU 型号、计费时长、失败重跑原因和有效训练时长，使资源消耗能够与性能收益对应分析。</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45" w:name="_RefTable6_1"/>
      <w:r>
        <w:rPr>
          <w:rFonts w:ascii="Times New Roman" w:hAnsi="Times New Roman" w:eastAsia="Songti SC"/>
          <w:sz w:val="21"/>
        </w:rPr>
        <w:t>6-</w:t>
      </w:r>
      <w:r>
        <w:rPr>
          <w:rFonts w:ascii="Times New Roman" w:hAnsi="Times New Roman" w:eastAsia="Songti SC"/>
          <w:sz w:val="21"/>
        </w:rPr>
        <w:fldChar w:fldCharType="begin" w:dirty="true"/>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5"/>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训练、多组合对照和必要重复实验</w:t>
            </w:r>
            <w:r>
              <w:rPr>
                <w:rFonts w:hint="eastAsia"/>
                <w:b w:val="0"/>
                <w:sz w:val="17"/>
                <w:lang w:eastAsia="zh-CN"/>
              </w:rPr>
              <w:t>，</w:t>
            </w:r>
            <w:r>
              <w:rPr>
                <w:rFonts w:hint="eastAsia"/>
                <w:b w:val="0"/>
                <w:sz w:val="17"/>
                <w:lang w:val="en-US" w:eastAsia="zh-CN"/>
              </w:rPr>
              <w:t>预计使用</w:t>
            </w:r>
            <w:r>
              <w:rPr>
                <w:rFonts w:hint="default"/>
                <w:b w:val="0"/>
                <w:sz w:val="17"/>
                <w:lang w:val="en-US" w:eastAsia="zh-CN"/>
              </w:rPr>
              <w:t>NVIDIA GeForce RTX 5090 32G</w:t>
            </w:r>
            <w:r>
              <w:rPr>
                <w:rFonts w:hint="eastAsia"/>
                <w:b w:val="0"/>
                <w:sz w:val="17"/>
                <w:lang w:val="en-US" w:eastAsia="zh-CN"/>
              </w:rPr>
              <w:t>训练</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w:t>
            </w:r>
            <w:r>
              <w:rPr>
                <w:rFonts w:hint="default"/>
                <w:b w:val="0"/>
                <w:sz w:val="17"/>
                <w:lang w:val="en-US"/>
              </w:rPr>
              <w:t>,</w:t>
            </w:r>
            <w:r>
              <w:rPr>
                <w:rFonts w:hint="eastAsia"/>
                <w:b w:val="0"/>
                <w:sz w:val="17"/>
                <w:lang w:val="en-US" w:eastAsia="zh-CN"/>
              </w:rPr>
              <w:t>预计费率</w:t>
            </w:r>
            <w:r>
              <w:rPr>
                <w:rFonts w:hint="default"/>
                <w:b w:val="0"/>
                <w:sz w:val="17"/>
                <w:lang w:val="en-US" w:eastAsia="zh-CN"/>
              </w:rPr>
              <w:t>8</w:t>
            </w:r>
            <w:r>
              <w:rPr>
                <w:rFonts w:hint="eastAsia"/>
                <w:b w:val="0"/>
                <w:sz w:val="17"/>
                <w:lang w:val="en-US" w:eastAsia="zh-CN"/>
              </w:rPr>
              <w:t>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default"/>
                <w:b w:val="0"/>
                <w:sz w:val="17"/>
                <w:lang w:val="en-US" w:eastAsia="zh-CN"/>
              </w:rPr>
              <w:t>~</w:t>
            </w:r>
            <w:r>
              <w:rPr>
                <w:rFonts w:hint="eastAsia"/>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bookmarkStart w:id="36" w:name="_GoBack"/>
            <w:bookmarkEnd w:id="36"/>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34" w:name="_Toc493653651"/>
      <w:r>
        <w:rPr>
          <w:rFonts w:ascii="黑体" w:hAnsi="黑体" w:eastAsia="黑体" w:cs="黑体"/>
          <w:b/>
          <w:color w:val="000000"/>
          <w:sz w:val="28"/>
        </w:rPr>
        <w:t>7．研究过程中可能遇到的困难和问题，解决的措施</w:t>
      </w:r>
      <w:bookmarkEnd w:id="34"/>
    </w:p>
    <w:p w14:paraId="2A5C30F9">
      <w:pPr>
        <w:ind w:firstLine="420"/>
        <w:jc w:val="both"/>
      </w:pPr>
      <w:r>
        <w:t>本课题可能遇到的困难集中在数据与接口、蒸馏估计、训练资源和部署评测四个方面，主要问题及解决措施如下：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46" w:name="_RefTable7_1"/>
      <w:r>
        <w:rPr>
          <w:rFonts w:ascii="Times New Roman" w:hAnsi="Times New Roman" w:eastAsia="Songti SC"/>
          <w:sz w:val="21"/>
        </w:rPr>
        <w:t>7-</w:t>
      </w:r>
      <w:r>
        <w:rPr>
          <w:rFonts w:ascii="Times New Roman" w:hAnsi="Times New Roman" w:eastAsia="Songti SC"/>
          <w:sz w:val="21"/>
        </w:rPr>
        <w:fldChar w:fldCharType="begin" w:dirty="true"/>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6"/>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比较全词表、Top-K、K1 的反馈量，采用分块计算、缓存和梯度累积控制资源开销。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记录支持集外比例、熵和异常 loss；稳定化扩展只在主方案可运行后考虑。</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或自建测试程序的版本、加载方式和测量参数。</w:t>
            </w:r>
          </w:p>
        </w:tc>
      </w:tr>
    </w:tbl>
    <w:p w14:paraId="7661A5B1">
      <w:pPr>
        <w:ind w:firstLine="420"/>
        <w:jc w:val="both"/>
      </w:pPr>
      <w:r>
        <w:t>实施过程中，训练前完成数据、模型、tokenizer 和消息模板审计；采用短序列验证、小批量训练、梯度累积、混合精度、教师输出缓存和分块计算控制资源开销；为全词表、Top-K 和 K1 规定统一的支持集、采样与 Mask 协议，并保存异常 loss、非法结构和失败工具调用的可追溯样本。</w:t>
      </w:r>
    </w:p>
    <w:p w14:paraId="59D0F03A">
      <w:pPr>
        <w:ind w:firstLine="420"/>
        <w:jc w:val="both"/>
      </w:pPr>
      <w:r>
        <w:t>实验日志按照数据与接口、蒸馏估计、训练资源和部署评测四类记录问题；评测结果分层报告格式解析、函数选择、参数生成、工具执行和端到端任务完成情况，使算法效果、资源成本与系统性能能够分别分析。</w:t>
      </w:r>
    </w:p>
    <w:p w14:paraId="1E1D72DA">
      <w:pPr>
        <w:ind w:firstLine="420"/>
        <w:jc w:val="both"/>
      </w:pPr>
      <w:r>
        <w:t>完成主要比较后，将进一步考察 Top-K 支持集修复和损失截断方法，包括师生高概率集合并集、残余概率质量保留和极端概率比裁剪，用于分析截断监督的稳定性。</w:t>
      </w:r>
    </w:p>
    <w:p w14:paraId="0874BB6A">
      <w:pPr>
        <w:pStyle w:val="2"/>
      </w:pPr>
      <w:bookmarkStart w:id="35" w:name="_Toc1107583996"/>
      <w:r>
        <w:rPr>
          <w:rFonts w:ascii="黑体" w:hAnsi="黑体" w:eastAsia="黑体" w:cs="黑体"/>
          <w:b/>
          <w:color w:val="000000"/>
          <w:sz w:val="28"/>
        </w:rPr>
        <w:t>8．主要参考文献</w:t>
      </w:r>
      <w:bookmarkEnd w:id="35"/>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Lu K, Thinking Machines Lab. On-Policy Distillation[EB/OL]. Thinking Machines Lab: Connectionism, 2025（技术博客）. DOI:10.64434/tml.20251026.</w:t>
      </w:r>
    </w:p>
    <w:p w14:paraId="23921927">
      <w:pPr>
        <w:pStyle w:val="17"/>
        <w:numPr>
          <w:ilvl w:val="0"/>
          <w:numId w:val="1"/>
        </w:numPr>
        <w:ind w:firstLine="420"/>
        <w:jc w:val="left"/>
      </w:pPr>
      <w:r>
        <w:t>Li Y, Zuo Y, He B, et al. Rethinking On-Policy Distillation of Large Language Models: Phenomenology, Mechanism, and Recipe[EB/OL]. arXiv:2604.13016v2, 2026. DOI:10.48550/arXiv.2604.13016.</w:t>
      </w:r>
    </w:p>
    <w:p w14:paraId="32C3FCC3">
      <w:pPr>
        <w:pStyle w:val="17"/>
        <w:numPr>
          <w:ilvl w:val="0"/>
          <w:numId w:val="1"/>
        </w:numPr>
        <w:ind w:firstLine="420"/>
        <w:jc w:val="left"/>
      </w:pPr>
      <w:r>
        <w:t>Fu Z, He B, Zuo Y, et al. Rethinking On-Policy Distillation of Large Language Models II: One Training Example[EB/OL]. arXiv:2609.04172v1, 2026. DOI:10.48550/arXiv.2609.04172.</w:t>
      </w:r>
    </w:p>
    <w:p w14:paraId="4B227259">
      <w:pPr>
        <w:pStyle w:val="17"/>
        <w:numPr>
          <w:ilvl w:val="0"/>
          <w:numId w:val="1"/>
        </w:numPr>
        <w:ind w:firstLine="420"/>
        <w:jc w:val="left"/>
      </w:pPr>
      <w:r>
        <w:t>Fu Y, Huang H, Jiang K, et al. Revisiting On-Policy Distillation: Empirical Failure Modes and Simple Fixes[EB/OL]. arXiv:2603.25562v2, 2026. DOI:10.48550/arXiv.2603.25562.</w:t>
      </w:r>
    </w:p>
    <w:p w14:paraId="529E3E43">
      <w:pPr>
        <w:pStyle w:val="17"/>
        <w:numPr>
          <w:ilvl w:val="0"/>
          <w:numId w:val="1"/>
        </w:numPr>
        <w:ind w:firstLine="420"/>
        <w:jc w:val="left"/>
      </w:pPr>
      <w:r>
        <w:t>Zhu W, Xie R, Wang R, et al. Hybrid Policy Distillation for LLMs[EB/OL]. arXiv:2604.20244v2, 2026. DOI:10.48550/arXiv.2604.20244.</w:t>
      </w:r>
    </w:p>
    <w:p w14:paraId="319C7304">
      <w:pPr>
        <w:pStyle w:val="17"/>
        <w:numPr>
          <w:ilvl w:val="0"/>
          <w:numId w:val="1"/>
        </w:numPr>
        <w:ind w:firstLine="420"/>
        <w:jc w:val="left"/>
      </w:pPr>
      <w:r>
        <w:t>Song M, Zheng M. A Survey of On-Policy Distillation for Large Language Models[EB/OL]. arXiv:2604.00626v4, 2026. DOI:10.48550/arXiv.2604.00626.</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379AF903"/>
    <w:rsid w:val="3DFA4833"/>
    <w:rsid w:val="5F7FB192"/>
    <w:rsid w:val="673FE172"/>
    <w:rsid w:val="676F45A0"/>
    <w:rsid w:val="6EFBC10C"/>
    <w:rsid w:val="6FFF75D6"/>
    <w:rsid w:val="71BE9EA7"/>
    <w:rsid w:val="767FF00F"/>
    <w:rsid w:val="D9FA0EC0"/>
    <w:rsid w:val="F3E35A1F"/>
    <w:rsid w:val="F77BC61A"/>
    <w:rsid w:val="FEBB3654"/>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735</Words>
  <Characters>4192</Characters>
  <Lines>34</Lines>
  <Paragraphs>9</Paragraphs>
  <TotalTime>4</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2022-10-10T18:38:00Z</dcterms:created>
  <dc:creator>董 睿璞</dc:creator>
  <cp:lastModifiedBy>Dr.Oppenheimer</cp:lastModifiedBy>
  <dcterms:modified xsi:type="dcterms:W3CDTF">2026-09-22T11:40:43Z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