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4E8FC" w14:textId="77777777" w:rsidR="00A847C4" w:rsidRDefault="00A847C4" w:rsidP="00A847C4">
      <w:pPr>
        <w:spacing w:before="78" w:after="78"/>
        <w:jc w:val="left"/>
        <w:rPr>
          <w:spacing w:val="40"/>
        </w:rPr>
      </w:pPr>
      <w:r>
        <w:rPr>
          <w:rFonts w:hAnsi="宋体" w:hint="eastAsia"/>
          <w:spacing w:val="40"/>
        </w:rPr>
        <w:t>附件</w:t>
      </w:r>
      <w:r>
        <w:rPr>
          <w:spacing w:val="40"/>
        </w:rPr>
        <w:t>2</w:t>
      </w:r>
      <w:r>
        <w:rPr>
          <w:rFonts w:hAnsi="宋体" w:hint="eastAsia"/>
          <w:spacing w:val="40"/>
        </w:rPr>
        <w:t>：</w:t>
      </w:r>
    </w:p>
    <w:p w14:paraId="1F9AC0F9" w14:textId="77777777" w:rsidR="00A847C4" w:rsidRDefault="00A847C4" w:rsidP="00A847C4">
      <w:pPr>
        <w:spacing w:before="78" w:after="78"/>
        <w:ind w:firstLine="883"/>
        <w:jc w:val="center"/>
        <w:rPr>
          <w:rFonts w:eastAsia="楷体_GB2312"/>
          <w:b/>
          <w:spacing w:val="40"/>
          <w:sz w:val="36"/>
        </w:rPr>
      </w:pPr>
    </w:p>
    <w:p w14:paraId="0EE9D77E" w14:textId="77777777" w:rsidR="00A847C4" w:rsidRDefault="00A847C4" w:rsidP="00A847C4">
      <w:pPr>
        <w:spacing w:before="78" w:after="78"/>
        <w:ind w:firstLine="883"/>
        <w:jc w:val="center"/>
        <w:rPr>
          <w:rFonts w:eastAsia="楷体_GB2312"/>
          <w:b/>
          <w:spacing w:val="40"/>
          <w:sz w:val="36"/>
        </w:rPr>
      </w:pPr>
    </w:p>
    <w:p w14:paraId="3BFCB7BE" w14:textId="60A50BAF" w:rsidR="00A847C4" w:rsidRDefault="00A847C4" w:rsidP="00A847C4">
      <w:pPr>
        <w:spacing w:before="78" w:after="78"/>
        <w:jc w:val="center"/>
        <w:rPr>
          <w:rFonts w:eastAsia="楷体_GB2312"/>
          <w:b/>
          <w:spacing w:val="40"/>
          <w:sz w:val="36"/>
        </w:rPr>
      </w:pPr>
      <w:r>
        <w:rPr>
          <w:rFonts w:eastAsia="楷体_GB2312"/>
          <w:b/>
          <w:noProof/>
          <w:spacing w:val="40"/>
          <w:sz w:val="36"/>
        </w:rPr>
        <w:drawing>
          <wp:inline distT="0" distB="0" distL="0" distR="0" wp14:anchorId="2AEA9F7B" wp14:editId="58982A8B">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37410" cy="403860"/>
                    </a:xfrm>
                    <a:prstGeom prst="rect">
                      <a:avLst/>
                    </a:prstGeom>
                    <a:noFill/>
                    <a:ln>
                      <a:noFill/>
                    </a:ln>
                  </pic:spPr>
                </pic:pic>
              </a:graphicData>
            </a:graphic>
          </wp:inline>
        </w:drawing>
      </w:r>
    </w:p>
    <w:p w14:paraId="6921CBFD" w14:textId="77777777" w:rsidR="00A847C4" w:rsidRDefault="00A847C4" w:rsidP="00A847C4">
      <w:pPr>
        <w:spacing w:before="78" w:after="78"/>
        <w:ind w:firstLine="883"/>
        <w:jc w:val="center"/>
        <w:rPr>
          <w:rFonts w:eastAsia="楷体_GB2312"/>
          <w:b/>
          <w:spacing w:val="40"/>
          <w:sz w:val="36"/>
        </w:rPr>
      </w:pPr>
    </w:p>
    <w:p w14:paraId="509B8C31" w14:textId="77777777" w:rsidR="00A847C4" w:rsidRDefault="00A847C4" w:rsidP="00A847C4">
      <w:pPr>
        <w:spacing w:before="78" w:after="78"/>
        <w:jc w:val="center"/>
        <w:rPr>
          <w:b/>
          <w:spacing w:val="40"/>
          <w:sz w:val="48"/>
        </w:rPr>
      </w:pPr>
      <w:r>
        <w:rPr>
          <w:rFonts w:hAnsi="SimHei" w:hint="eastAsia" w:ascii="SimHei" w:eastAsia="黑体" w:cs="SimHei"/>
          <w:b/>
          <w:color w:val="000000"/>
          <w:spacing w:val="40"/>
          <w:sz w:val="48"/>
        </w:rPr>
        <w:t>毕业设计（论文）开题报告</w:t>
      </w:r>
    </w:p>
    <w:p w14:paraId="7A5E0120" w14:textId="77777777" w:rsidR="00A847C4" w:rsidRDefault="00A847C4" w:rsidP="00A847C4">
      <w:pPr>
        <w:spacing w:before="78" w:after="78"/>
        <w:ind w:firstLine="643"/>
        <w:rPr>
          <w:b/>
          <w:sz w:val="32"/>
        </w:rPr>
      </w:pPr>
    </w:p>
    <w:p w14:paraId="035E13DA" w14:textId="77777777" w:rsidR="00A847C4" w:rsidRDefault="00A847C4" w:rsidP="00A847C4">
      <w:pPr>
        <w:spacing w:before="78" w:after="78"/>
        <w:rPr>
          <w:b/>
          <w:sz w:val="32"/>
        </w:rPr>
      </w:pPr>
    </w:p>
    <w:p w14:paraId="4B2C42F9" w14:textId="3C7DB1FD" w:rsidR="00A847C4" w:rsidRPr="00FD19E3" w:rsidRDefault="00A847C4" w:rsidP="00A847C4">
      <w:pPr>
        <w:spacing w:before="78" w:after="78"/>
        <w:ind w:firstLineChars="250" w:firstLine="703"/>
        <w:rPr>
          <w:b/>
          <w:sz w:val="28"/>
          <w:szCs w:val="21"/>
        </w:rPr>
      </w:pPr>
      <w:r w:rsidRPr="00FD19E3">
        <w:rPr>
          <w:rFonts w:hint="eastAsia" w:ascii="SimHei" w:hAnsi="SimHei" w:eastAsia="黑体" w:cs="SimHei"/>
          <w:b/>
          <w:color w:val="000000"/>
          <w:sz w:val="28"/>
          <w:szCs w:val="21"/>
        </w:rPr>
        <w:t>题</w:t>
      </w:r>
      <w:r w:rsidRPr="00FD19E3">
        <w:rPr>
          <w:rFonts w:ascii="SimHei" w:hAnsi="SimHei" w:eastAsia="黑体" w:cs="SimHei"/>
          <w:b/>
          <w:color w:val="000000"/>
          <w:sz w:val="28"/>
          <w:szCs w:val="21"/>
        </w:rPr>
        <w:t xml:space="preserve"> </w:t>
      </w:r>
      <w:r w:rsidRPr="00FD19E3">
        <w:rPr>
          <w:rFonts w:hint="eastAsia" w:ascii="SimHei" w:hAnsi="SimHei" w:eastAsia="黑体" w:cs="SimHei"/>
          <w:b/>
          <w:color w:val="000000"/>
          <w:sz w:val="28"/>
          <w:szCs w:val="21"/>
        </w:rPr>
        <w:t>目</w:t>
      </w:r>
      <w:r w:rsidR="00866FFA" w:rsidRPr="00FD19E3">
        <w:rPr>
          <w:rFonts w:hint="eastAsia" w:ascii="SimHei" w:hAnsi="SimHei" w:eastAsia="黑体" w:cs="SimHei"/>
          <w:b/>
          <w:color w:val="000000"/>
          <w:sz w:val="28"/>
          <w:szCs w:val="21"/>
        </w:rPr>
        <w:t>：</w:t>
      </w:r>
      <w:r w:rsidR="00FD19E3" w:rsidRPr="00FD19E3">
        <w:rPr>
          <w:rFonts w:hint="eastAsia" w:ascii="SimHei" w:hAnsi="SimHei" w:eastAsia="黑体" w:cs="SimHei"/>
          <w:b/>
          <w:color w:val="000000"/>
          <w:sz w:val="28"/>
          <w:szCs w:val="21"/>
        </w:rPr>
        <w:t>基于在线策略蒸馏的大语言模型后训练方法研究</w:t>
      </w:r>
    </w:p>
    <w:p w14:paraId="7C122DCF" w14:textId="149911BC" w:rsidR="00A847C4" w:rsidRDefault="00A847C4" w:rsidP="00A847C4">
      <w:pPr>
        <w:spacing w:before="78" w:after="78"/>
        <w:ind w:firstLine="643"/>
        <w:rPr>
          <w:b/>
          <w:sz w:val="32"/>
        </w:rPr>
      </w:pPr>
    </w:p>
    <w:p w14:paraId="607458DB" w14:textId="77777777" w:rsidR="00A847C4" w:rsidRDefault="00A847C4" w:rsidP="00A847C4">
      <w:pPr>
        <w:spacing w:before="78" w:after="78"/>
        <w:ind w:firstLine="643"/>
        <w:rPr>
          <w:b/>
          <w:sz w:val="32"/>
          <w:u w:val="single"/>
        </w:rPr>
      </w:pPr>
    </w:p>
    <w:p w14:paraId="6A81B0BC" w14:textId="77777777" w:rsidR="00A847C4" w:rsidRDefault="00A847C4" w:rsidP="00A847C4">
      <w:pPr>
        <w:spacing w:before="78" w:after="78"/>
        <w:ind w:firstLine="643"/>
        <w:rPr>
          <w:b/>
          <w:sz w:val="32"/>
          <w:u w:val="single"/>
        </w:rPr>
      </w:pPr>
    </w:p>
    <w:p w14:paraId="0C65FAB6" w14:textId="77777777" w:rsidR="00A847C4" w:rsidRDefault="00A847C4" w:rsidP="00A847C4">
      <w:pPr>
        <w:spacing w:before="78" w:after="78"/>
        <w:ind w:firstLine="643"/>
        <w:rPr>
          <w:b/>
          <w:sz w:val="32"/>
          <w:u w:val="single"/>
        </w:rPr>
      </w:pPr>
    </w:p>
    <w:p w14:paraId="3F4FC680" w14:textId="0AD57348" w:rsidR="00A847C4" w:rsidRDefault="00A847C4" w:rsidP="00A847C4">
      <w:pPr>
        <w:spacing w:beforeLines="80" w:before="249" w:after="60"/>
        <w:ind w:firstLineChars="686" w:firstLine="2204"/>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sidR="00866FFA">
        <w:rPr>
          <w:rFonts w:hint="eastAsia"/>
          <w:b/>
          <w:sz w:val="32"/>
          <w:u w:val="single"/>
        </w:rPr>
        <w:t>待填写</w:t>
      </w:r>
      <w:r w:rsidR="00866FFA">
        <w:rPr>
          <w:b/>
          <w:sz w:val="32"/>
          <w:u w:val="single"/>
        </w:rPr>
        <w:t xml:space="preserve"> </w:t>
      </w:r>
      <w:r>
        <w:rPr>
          <w:b/>
          <w:sz w:val="32"/>
          <w:u w:val="single"/>
        </w:rPr>
        <w:t xml:space="preserve">  </w:t>
      </w:r>
    </w:p>
    <w:p w14:paraId="727EE0AF" w14:textId="5FC339BE" w:rsidR="00A847C4" w:rsidRDefault="00A847C4" w:rsidP="00A847C4">
      <w:pPr>
        <w:spacing w:beforeLines="80" w:before="249" w:after="60"/>
        <w:ind w:firstLineChars="686" w:firstLine="2204"/>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proofErr w:type="gramStart"/>
      <w:r w:rsidR="00866FFA">
        <w:rPr>
          <w:rFonts w:hint="eastAsia"/>
          <w:b/>
          <w:sz w:val="32"/>
          <w:u w:val="single"/>
        </w:rPr>
        <w:t>待填写</w:t>
      </w:r>
      <w:proofErr w:type="gramEnd"/>
      <w:r>
        <w:rPr>
          <w:b/>
          <w:sz w:val="32"/>
          <w:u w:val="single"/>
        </w:rPr>
        <w:t xml:space="preserve">          </w:t>
      </w:r>
    </w:p>
    <w:p w14:paraId="087E7EA8" w14:textId="0741AE54" w:rsidR="00A847C4" w:rsidRDefault="00A847C4" w:rsidP="00A847C4">
      <w:pPr>
        <w:spacing w:beforeLines="80" w:before="249" w:after="60"/>
        <w:ind w:firstLineChars="686" w:firstLine="2204"/>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sidR="00866FFA">
        <w:rPr>
          <w:b/>
          <w:sz w:val="32"/>
          <w:u w:val="single"/>
        </w:rPr>
        <w:t xml:space="preserve">待填写</w:t>
      </w:r>
      <w:r>
        <w:rPr>
          <w:b/>
          <w:sz w:val="32"/>
          <w:u w:val="single"/>
        </w:rPr>
        <w:t xml:space="preserve">    </w:t>
      </w:r>
    </w:p>
    <w:p w14:paraId="77CDA7DA" w14:textId="7F1B3115" w:rsidR="00A847C4" w:rsidRDefault="00A847C4" w:rsidP="00A847C4">
      <w:pPr>
        <w:spacing w:beforeLines="80" w:before="249" w:after="60"/>
        <w:ind w:firstLineChars="686" w:firstLine="2204"/>
        <w:rPr>
          <w:b/>
          <w:sz w:val="32"/>
          <w:u w:val="single"/>
        </w:rPr>
      </w:pPr>
      <w:r>
        <w:rPr>
          <w:rFonts w:hint="eastAsia"/>
          <w:b/>
          <w:sz w:val="32"/>
        </w:rPr>
        <w:t>指导教师</w:t>
      </w:r>
      <w:r>
        <w:rPr>
          <w:b/>
          <w:sz w:val="32"/>
        </w:rPr>
        <w:t xml:space="preserve"> </w:t>
      </w:r>
      <w:r>
        <w:rPr>
          <w:b/>
          <w:sz w:val="32"/>
          <w:u w:val="single"/>
        </w:rPr>
        <w:t xml:space="preserve">     </w:t>
      </w:r>
      <w:proofErr w:type="gramStart"/>
      <w:r w:rsidR="00866FFA">
        <w:rPr>
          <w:rFonts w:hint="eastAsia"/>
          <w:b/>
          <w:sz w:val="32"/>
          <w:u w:val="single"/>
        </w:rPr>
        <w:t>待填写</w:t>
      </w:r>
      <w:proofErr w:type="gramEnd"/>
      <w:r>
        <w:rPr>
          <w:b/>
          <w:sz w:val="32"/>
          <w:u w:val="single"/>
        </w:rPr>
        <w:t xml:space="preserve">           </w:t>
      </w:r>
    </w:p>
    <w:p w14:paraId="27AD5893" w14:textId="290D82D0" w:rsidR="00A847C4" w:rsidRDefault="00A847C4" w:rsidP="00A847C4">
      <w:pPr>
        <w:spacing w:beforeLines="80" w:before="249" w:after="60"/>
        <w:ind w:firstLineChars="686" w:firstLine="2204"/>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sidR="00866FFA">
        <w:rPr>
          <w:b/>
          <w:sz w:val="32"/>
          <w:u w:val="single"/>
        </w:rPr>
        <w:t>待填写</w:t>
      </w:r>
      <w:r>
        <w:rPr>
          <w:b/>
          <w:sz w:val="32"/>
          <w:u w:val="single"/>
        </w:rPr>
        <w:t xml:space="preserve">         </w:t>
      </w:r>
    </w:p>
    <w:p>
      <w:pPr>
        <w:pStyle w:val="1"/>
      </w:pPr>
      <w:r>
        <w:rPr>
          <w:rFonts w:ascii="SimHei" w:hAnsi="SimHei" w:eastAsia="黑体" w:cs="SimHei"/>
          <w:b/>
          <w:color w:val="000000"/>
          <w:sz w:val="28"/>
        </w:rPr>
        <w:t>1．课题来源及研究的目的和意义</w:t>
      </w:r>
    </w:p>
    <w:p>
      <w:pPr>
        <w:pStyle w:val="2"/>
      </w:pPr>
      <w:r>
        <w:rPr>
          <w:rFonts w:ascii="SimHei" w:hAnsi="SimHei" w:eastAsia="黑体" w:cs="SimHei"/>
          <w:b/>
          <w:color w:val="000000"/>
          <w:sz w:val="24"/>
        </w:rPr>
        <w:t>1.1 课题来源</w:t>
      </w:r>
    </w:p>
    <w:p>
      <w:pPr>
        <w:pStyle w:val="a"/>
        <w:jc w:val="both"/>
        <w:ind w:firstLine="420"/>
      </w:pPr>
      <w:r>
        <w:t>本课题来源于大语言模型后训练和工具增强应用的发展需求，研究对象为在线策略蒸馏（On-Policy Distillation，OPD）。根据任务要求，课题将在学生模型自身生成的状态上引入教师模型的密集反馈，比较不同 KL 散度方向和不同监督信息粒度对训练效果、稳定性与资源开销的影响，并通过可交互系统验证模型的实际能力。</w:t>
      </w:r>
    </w:p>
    <w:p>
      <w:pPr>
        <w:pStyle w:val="a"/>
        <w:jc w:val="both"/>
        <w:ind w:firstLine="420"/>
      </w:pPr>
      <w:r>
        <w:t>本课题以 Qwen3-0.6B 为学生模型，采用 LoRA 进行后训练；以 Qwen3-4B 为冻结教师模型；训练数据从公开 Function Calling 数据中选择；按照任务要求比较 Forward KL、Reverse KL、广义散度，以及全词表、Top-K、K1 sampled-token 三种监督方案；最终使用 vLLM 或自建测试程序完成推理性能验证。数据准备阶段统一记录数据集名称、版本、许可证、划分方式和模型版本。</w:t>
      </w:r>
    </w:p>
    <w:p>
      <w:pPr>
        <w:pStyle w:val="2"/>
      </w:pPr>
      <w:r>
        <w:rPr>
          <w:rFonts w:ascii="SimHei" w:hAnsi="SimHei" w:eastAsia="黑体" w:cs="SimHei"/>
          <w:b/>
          <w:color w:val="000000"/>
          <w:sz w:val="24"/>
        </w:rPr>
        <w:t>1.2 研究背景</w:t>
      </w:r>
    </w:p>
    <w:p>
      <w:pPr>
        <w:pStyle w:val="a"/>
        <w:jc w:val="both"/>
        <w:ind w:firstLine="420"/>
      </w:pPr>
      <w:r>
        <w:t>大语言模型先通过大规模预训练学习语言规律和知识表示，再通过后训练获得指令遵循、结构化输出、推理和工具使用能力。知识蒸馏以教师模型的软分布为学生提供比硬标签更丰富的训练信号，Hinton 等人讨论了温度和软目标的基本思想[1]；序列级知识蒸馏则使用教师生成的序列训练学生[2]。这种信号的收益取决于任务、教师和训练协议，训练数据或教师轨迹与学生推理时实际访问的状态也可能不一致。</w:t>
      </w:r>
    </w:p>
    <w:p>
      <w:pPr>
        <w:pStyle w:val="a"/>
        <w:jc w:val="both"/>
        <w:ind w:firstLine="420"/>
      </w:pPr>
      <w:r>
        <w:t>Function Calling 是大语言模型按照结构化接口调用外部函数的重要形式。Gorilla/APIBench 关注 API 文档理解、函数选择和参数正确性[22]；API-Bank 将工具检索、调用规划和执行结果纳入统一基准[23]。相关研究表明，Function Calling 能力可以分解为函数选择、结构化参数生成、调用顺序和执行结果等环节，为后训练方法的性能分析提供了明确任务载体。</w:t>
      </w:r>
    </w:p>
    <w:p>
      <w:pPr>
        <w:pStyle w:val="a"/>
        <w:jc w:val="both"/>
        <w:ind w:firstLine="420"/>
      </w:pPr>
      <w:r>
        <w:t>Function Calling 具有较清晰的自动评测条件。给定用户请求、候选函数和调用 schema，可以分别检查函数名称、输出结构、参数键值、类型约束和执行结果。BFCL 将评测扩展到串行调用、并行调用和拒答场景，并采用结构匹配等方法分析函数调用正确性[27]。因此，本课题可以将 token 级分布匹配与端到端任务性能联系起来。</w:t>
      </w:r>
    </w:p>
    <w:p>
      <w:pPr>
        <w:pStyle w:val="a"/>
        <w:jc w:val="both"/>
        <w:ind w:firstLine="420"/>
      </w:pPr>
      <w:r>
        <w:t>从任务形式看，为便于本课题评测，本文将 Function Calling 拆分为意图与工具选择、结构化参数生成、schema 约束、工具执行和多轮任务完成等环节。由此，同一条样本可以在不同层面失败：意图理解正确但函数选择错误，函数选择正确但参数缺失，参数结构正确但值不符合约束，或者一次调用正确但多轮任务没有完成；这种拆分与已有工具调用基准的评测维度相近[23][27]。</w:t>
      </w:r>
    </w:p>
    <w:p>
      <w:pPr>
        <w:pStyle w:val="a"/>
        <w:jc w:val="both"/>
        <w:ind w:firstLine="420"/>
      </w:pPr>
      <w:r>
        <w:t>数据准备阶段将根据公开数据的实际字段，统计单轮调用、多工具候选、并行调用、多轮工具结果和无适用工具等任务类型。训练集、验证集和测试集按照工具 schema、问题模板与数据来源进行隔离，减少相近样本造成的信息泄漏。</w:t>
      </w:r>
    </w:p>
    <w:p>
      <w:pPr>
        <w:pStyle w:val="2"/>
      </w:pPr>
      <w:r>
        <w:rPr>
          <w:rFonts w:ascii="SimHei" w:hAnsi="SimHei" w:eastAsia="黑体" w:cs="SimHei"/>
          <w:b/>
          <w:color w:val="000000"/>
          <w:sz w:val="24"/>
        </w:rPr>
        <w:t>1.3 传统后训练方法的局限</w:t>
      </w:r>
    </w:p>
    <w:p>
      <w:pPr>
        <w:pStyle w:val="a"/>
        <w:jc w:val="both"/>
        <w:ind w:firstLine="420"/>
      </w:pPr>
      <w:r>
        <w:t>监督微调使用给定的输入—输出样本直接最大化参考答案概率，训练稳定、实现成熟，但学生在推理时可能生成与示范不同的前缀，之后访问到的状态未必被训练数据覆盖。Huszár 对自回归生成训练目标和 scheduled sampling 的分析说明，训练分布与生成分布之间的差异会影响目标的一致性[5]。DAgger 通过在学生策略访问的状态上请求专家动作，缓解模仿学习中的分布偏移[3]；ImitKD 将自回归蒸馏和模仿学习联系起来[4]。这些工作为 OPD 提供了理论动机。</w:t>
      </w:r>
    </w:p>
    <w:p>
      <w:pPr>
        <w:pStyle w:val="a"/>
        <w:jc w:val="both"/>
        <w:ind w:firstLine="420"/>
      </w:pPr>
      <w:r>
        <w:t>强化学习和偏好优化分别依赖环境奖励与回答偏好，训练信号均不同于本课题的 token 分布监督。因此，本课题把强化学习和偏好优化作为背景，不把它们的训练协议并入主比较。</w:t>
      </w:r>
    </w:p>
    <w:p>
      <w:pPr>
        <w:pStyle w:val="a"/>
        <w:jc w:val="both"/>
        <w:ind w:firstLine="420"/>
      </w:pPr>
      <w:r>
        <w:t>传统离线蒸馏可以向学生提供教师分布或教师生成答案，但教师始终在自身状态上生成时，学生在错误前缀上的恢复能力较难得到训练。OPD 让学生先生成自身轨迹，再由教师在学生访问到的前缀上提供反馈，使训练状态更接近部署时的状态[7][10]。本课题将围绕师生能力差距、模板兼容性、散度方向和监督信息粒度分析这一机制在 Function Calling 中的表现。</w:t>
      </w:r>
    </w:p>
    <w:p>
      <w:pPr>
        <w:pStyle w:val="2"/>
      </w:pPr>
      <w:r>
        <w:rPr>
          <w:rFonts w:ascii="SimHei" w:hAnsi="SimHei" w:eastAsia="黑体" w:cs="SimHei"/>
          <w:b/>
          <w:color w:val="000000"/>
          <w:sz w:val="24"/>
        </w:rPr>
        <w:t>1.4 在线策略蒸馏的研究价值</w:t>
      </w:r>
    </w:p>
    <w:p>
      <w:pPr>
        <w:pStyle w:val="a"/>
        <w:jc w:val="both"/>
        <w:ind w:firstLine="420"/>
      </w:pPr>
      <w:r>
        <w:t>设学生策略为 πθ，教师策略为 πφ。给定用户输入 x，学生按照自身策略生成 (y₁:T)，教师在前缀 ((x,y(&lt;t))) 上给出下一 token 的分布或局部评分，学生根据分布差异更新参数。与只使用教师示范的离线方法相比，OPD 关注学生真实会访问的状态；与只依赖任务奖励的强化学习相比，教师分布可以提供更密集的 token 级信号。</w:t>
      </w:r>
    </w:p>
    <w:p>
      <w:pPr>
        <w:pStyle w:val="a"/>
        <w:jc w:val="both"/>
        <w:ind w:firstLine="420"/>
      </w:pPr>
      <w:r>
        <w:t>GKD 研究了从学生自生成错误中学习的在线蒸馏[7]；MiniLLM 以 Reverse KL 和序列级目标为重要组成部分[8]；DistiLLM 讨论了 skew KL 和学生样本复用[9]。相关研究还从现象、状态覆盖、教师兼容性、Top-K 支持和失败模式等角度分析 OPD[11][12][13]，并提出混合策略或效率改进方向[14]。综述工作将 OPD 归纳为不同优化对象、监督信号来源和稳定化方式的组合[15]。</w:t>
      </w:r>
    </w:p>
    <w:p>
      <w:pPr>
        <w:pStyle w:val="a"/>
        <w:jc w:val="both"/>
        <w:ind w:firstLine="420"/>
      </w:pPr>
      <w:r>
        <w:t>本课题将上述变量置于统一的应用条件中考察：学生模型为 Qwen3-0.6B，教师模型为 Qwen3-4B，学生采用 LoRA，任务为 Function Calling，主要比较散度方向和监督信息粒度。各组保持模型规模、任务类型、训练预算和评测规则一致，以突出蒸馏方法本身的差异。</w:t>
      </w:r>
    </w:p>
    <w:p>
      <w:pPr>
        <w:pStyle w:val="a"/>
        <w:jc w:val="both"/>
        <w:ind w:firstLine="420"/>
      </w:pPr>
      <w:r>
        <w:t>Function Calling 为分析 OPD 训练机制提供了多层指标。函数名和参数具有明确的结构约束，既可以分析教师监督在 token 分布层的传递效果，也可以统计结构化输出层的函数与参数正确率，还可以通过实际调用结果衡量任务完成情况。不同层次的指标共同用于解释蒸馏方法在效果与效率上的差异。</w:t>
      </w:r>
    </w:p>
    <w:p>
      <w:pPr>
        <w:pStyle w:val="2"/>
      </w:pPr>
      <w:r>
        <w:rPr>
          <w:rFonts w:ascii="SimHei" w:hAnsi="SimHei" w:eastAsia="黑体" w:cs="SimHei"/>
          <w:b/>
          <w:color w:val="000000"/>
          <w:sz w:val="24"/>
        </w:rPr>
        <w:t>1.5 研究目的和意义</w:t>
      </w:r>
    </w:p>
    <w:p>
      <w:pPr>
        <w:pStyle w:val="a"/>
        <w:jc w:val="both"/>
        <w:ind w:firstLine="420"/>
      </w:pPr>
      <w:r>
        <w:t>本课题的研究目的如下：</w:t>
      </w:r>
    </w:p>
    <w:p>
      <w:pPr>
        <w:pStyle w:val="a8"/>
        <w:jc w:val="left"/>
        <w:ind w:firstLine="420"/>
      </w:pPr>
      <w:r>
        <w:t>1. 梳理离线蒸馏、在线策略蒸馏、KL 散度和工具增强模型的研究脉络，明确 OPD 在 Function Calling 中的研究问题。</w:t>
      </w:r>
    </w:p>
    <w:p>
      <w:pPr>
        <w:pStyle w:val="a8"/>
        <w:jc w:val="left"/>
        <w:ind w:firstLine="420"/>
      </w:pPr>
      <w:r>
        <w:t>2. 在统一的 OPD 后训练流程下比较主要散度方向与监督信息粒度/估计方式，具体候选矩阵见第3、4节。</w:t>
      </w:r>
    </w:p>
    <w:p>
      <w:pPr>
        <w:pStyle w:val="a8"/>
        <w:jc w:val="left"/>
        <w:ind w:firstLine="420"/>
      </w:pPr>
      <w:r>
        <w:t>3. 从任务正确率、训练稳定性、分布变化和资源开销分析方法差异，并在 vLLM 或自建测试程序中测量推理吞吐、延迟和端到端调用成功率。</w:t>
      </w:r>
    </w:p>
    <w:p>
      <w:pPr>
        <w:pStyle w:val="a"/>
        <w:jc w:val="both"/>
        <w:ind w:firstLine="420"/>
      </w:pPr>
      <w:r>
        <w:t>理论上，本课题将学生状态分布、散度方向和教师监督支持集作为三个可分析因素，补充 Function Calling 场景下的 OPD 研究。应用上，研究较小模型经 LoRA 后训练获得工具调用能力的可行性，并考察稀疏监督在模型效果与教师反馈开销之间的权衡，为低延迟、低成本和本地部署场景提供参考。</w:t>
      </w:r>
    </w:p>
    <w:p>
      <w:pPr>
        <w:pStyle w:val="1"/>
      </w:pPr>
      <w:r>
        <w:rPr>
          <w:rFonts w:ascii="SimHei" w:hAnsi="SimHei" w:eastAsia="黑体" w:cs="SimHei"/>
          <w:b/>
          <w:color w:val="000000"/>
          <w:sz w:val="28"/>
        </w:rPr>
        <w:t>2．国内外在该方向的研究现状及分析</w:t>
      </w:r>
    </w:p>
    <w:p>
      <w:pPr>
        <w:pStyle w:val="2"/>
      </w:pPr>
      <w:r>
        <w:rPr>
          <w:rFonts w:ascii="SimHei" w:hAnsi="SimHei" w:eastAsia="黑体" w:cs="SimHei"/>
          <w:b/>
          <w:color w:val="000000"/>
          <w:sz w:val="24"/>
        </w:rPr>
        <w:t>2.1 大语言模型后训练和知识蒸馏</w:t>
      </w:r>
    </w:p>
    <w:p>
      <w:pPr>
        <w:pStyle w:val="a"/>
        <w:jc w:val="both"/>
        <w:ind w:firstLine="420"/>
      </w:pPr>
      <w:r>
        <w:t>为便于比较，本文按训练信号将相关后训练方法分为监督微调、知识蒸馏、偏好优化和强化学习。监督微调依赖人工或教师构造的目标序列，知识蒸馏使用教师软分布，偏好优化使用回答之间的偏好关系，强化学习依据环境或任务奖励更新策略。SFT 和序列级蒸馏易于构造结构化数据，但学生状态与训练前缀之间可能存在偏移[1][2][5]。本文根据训练信号来源和优化对象分别讨论这些方法。</w:t>
      </w:r>
    </w:p>
    <w:p>
      <w:pPr>
        <w:pStyle w:val="a"/>
        <w:jc w:val="both"/>
        <w:ind w:firstLine="420"/>
      </w:pPr>
      <w:r>
        <w:t>知识蒸馏的核心是利用教师输出中的软信息。设教师在某个位置给出分布 p，学生给出分布 q，蒸馏目标可以通过概率分布之间的距离定义。软目标保留了教师对多个候选 token 的相对偏好，理论上比 one-hot 标签提供更多信息；但在自回归任务中，分布匹配还受前缀状态、采样方式和序列长度影响。f-divergence 视角将多种分布距离纳入统一框架，可用于解释序列级蒸馏目标[6]。</w:t>
      </w:r>
    </w:p>
    <w:p>
      <w:pPr>
        <w:pStyle w:val="a"/>
        <w:jc w:val="both"/>
        <w:ind w:firstLine="420"/>
      </w:pPr>
      <w:r>
        <w:t>从训练状态和反馈来源看，可以将相关方法作如下区分：</w:t>
      </w:r>
    </w:p>
    <w:tbl>
      <w:tblPr>
        <w:tblStyle w:val="a9"/>
        <w:tblW w:w="0" w:type="auto"/>
        <w:tblLook w:val="04A0" w:firstRow="1" w:lastRow="0" w:firstColumn="1" w:lastColumn="0" w:noHBand="0" w:noVBand="1"/>
      </w:tblPr>
      <w:tblGrid>
        <w:gridCol w:w="2074"/>
        <w:gridCol w:w="2074"/>
        <w:gridCol w:w="2074"/>
        <w:gridCol w:w="2074"/>
      </w:tblGrid>
      <w:tr>
        <w:trPr>
          <w:tblHeader/>
        </w:trPr>
        <w:tc>
          <w:tcPr>
            <w:tcW w:w="4148" w:type="dxa"/>
          </w:tcPr>
          <w:p>
            <w:pPr>
              <w:pStyle w:val="a"/>
              <w:jc w:val="left"/>
              <w:ind w:firstLine="0"/>
            </w:pPr>
            <w:r>
              <w:rPr>
                <w:b/>
              </w:rPr>
              <w:t>方法类别</w:t>
            </w:r>
          </w:p>
        </w:tc>
        <w:tc>
          <w:tcPr>
            <w:tcW w:w="4148" w:type="dxa"/>
          </w:tcPr>
          <w:p>
            <w:pPr>
              <w:pStyle w:val="a"/>
              <w:jc w:val="left"/>
              <w:ind w:firstLine="0"/>
            </w:pPr>
            <w:r>
              <w:rPr>
                <w:b/>
              </w:rPr>
              <w:t>学生训练时的主要状态</w:t>
            </w:r>
          </w:p>
        </w:tc>
        <w:tc>
          <w:tcPr>
            <w:tcW w:w="4148" w:type="dxa"/>
          </w:tcPr>
          <w:p>
            <w:pPr>
              <w:pStyle w:val="a"/>
              <w:jc w:val="left"/>
              <w:ind w:firstLine="0"/>
            </w:pPr>
            <w:r>
              <w:rPr>
                <w:b/>
              </w:rPr>
              <w:t>监督或奖励来源</w:t>
            </w:r>
          </w:p>
        </w:tc>
        <w:tc>
          <w:tcPr>
            <w:tcW w:w="4148" w:type="dxa"/>
          </w:tcPr>
          <w:p>
            <w:pPr>
              <w:pStyle w:val="a"/>
              <w:jc w:val="left"/>
              <w:ind w:firstLine="0"/>
            </w:pPr>
            <w:r>
              <w:rPr>
                <w:b/>
              </w:rPr>
              <w:t>对本课题的启发</w:t>
            </w:r>
          </w:p>
        </w:tc>
      </w:tr>
      <w:tr>
        <w:tc>
          <w:tcPr>
            <w:tcW w:w="4148" w:type="dxa"/>
          </w:tcPr>
          <w:p>
            <w:pPr>
              <w:pStyle w:val="a"/>
              <w:jc w:val="left"/>
              <w:ind w:firstLine="0"/>
            </w:pPr>
            <w:r>
              <w:t>SFT/离线蒸馏</w:t>
            </w:r>
          </w:p>
        </w:tc>
        <w:tc>
          <w:tcPr>
            <w:tcW w:w="4148" w:type="dxa"/>
          </w:tcPr>
          <w:p>
            <w:pPr>
              <w:pStyle w:val="a"/>
              <w:jc w:val="left"/>
              <w:ind w:firstLine="0"/>
            </w:pPr>
            <w:r>
              <w:t>数据或教师示范前缀</w:t>
            </w:r>
          </w:p>
        </w:tc>
        <w:tc>
          <w:tcPr>
            <w:tcW w:w="4148" w:type="dxa"/>
          </w:tcPr>
          <w:p>
            <w:pPr>
              <w:pStyle w:val="a"/>
              <w:jc w:val="left"/>
              <w:ind w:firstLine="0"/>
            </w:pPr>
            <w:r>
              <w:t>硬标签、教师序列或软分布</w:t>
            </w:r>
          </w:p>
        </w:tc>
        <w:tc>
          <w:tcPr>
            <w:tcW w:w="4148" w:type="dxa"/>
          </w:tcPr>
          <w:p>
            <w:pPr>
              <w:pStyle w:val="a"/>
              <w:jc w:val="left"/>
              <w:ind w:firstLine="0"/>
            </w:pPr>
            <w:r>
              <w:t>作为 OPD 分布偏移问题的对照背景</w:t>
            </w:r>
          </w:p>
        </w:tc>
      </w:tr>
      <w:tr>
        <w:tc>
          <w:tcPr>
            <w:tcW w:w="4148" w:type="dxa"/>
          </w:tcPr>
          <w:p>
            <w:pPr>
              <w:pStyle w:val="a"/>
              <w:jc w:val="left"/>
              <w:ind w:firstLine="0"/>
            </w:pPr>
            <w:r>
              <w:t>模仿学习式蒸馏</w:t>
            </w:r>
          </w:p>
        </w:tc>
        <w:tc>
          <w:tcPr>
            <w:tcW w:w="4148" w:type="dxa"/>
          </w:tcPr>
          <w:p>
            <w:pPr>
              <w:pStyle w:val="a"/>
              <w:jc w:val="left"/>
              <w:ind w:firstLine="0"/>
            </w:pPr>
            <w:r>
              <w:t>学生访问的部分状态</w:t>
            </w:r>
          </w:p>
        </w:tc>
        <w:tc>
          <w:tcPr>
            <w:tcW w:w="4148" w:type="dxa"/>
          </w:tcPr>
          <w:p>
            <w:pPr>
              <w:pStyle w:val="a"/>
              <w:jc w:val="left"/>
              <w:ind w:firstLine="0"/>
            </w:pPr>
            <w:r>
              <w:t>专家动作或教师反馈</w:t>
            </w:r>
          </w:p>
        </w:tc>
        <w:tc>
          <w:tcPr>
            <w:tcW w:w="4148" w:type="dxa"/>
          </w:tcPr>
          <w:p>
            <w:pPr>
              <w:pStyle w:val="a"/>
              <w:jc w:val="left"/>
              <w:ind w:firstLine="0"/>
            </w:pPr>
            <w:r>
              <w:t>说明为什么要让教师观察学生前缀</w:t>
            </w:r>
          </w:p>
        </w:tc>
      </w:tr>
      <w:tr>
        <w:tc>
          <w:tcPr>
            <w:tcW w:w="4148" w:type="dxa"/>
          </w:tcPr>
          <w:p>
            <w:pPr>
              <w:pStyle w:val="a"/>
              <w:jc w:val="left"/>
              <w:ind w:firstLine="0"/>
            </w:pPr>
            <w:r>
              <w:t>OPD</w:t>
            </w:r>
          </w:p>
        </w:tc>
        <w:tc>
          <w:tcPr>
            <w:tcW w:w="4148" w:type="dxa"/>
          </w:tcPr>
          <w:p>
            <w:pPr>
              <w:pStyle w:val="a"/>
              <w:jc w:val="left"/>
              <w:ind w:firstLine="0"/>
            </w:pPr>
            <w:r>
              <w:t>学生自身生成轨迹</w:t>
            </w:r>
          </w:p>
        </w:tc>
        <w:tc>
          <w:tcPr>
            <w:tcW w:w="4148" w:type="dxa"/>
          </w:tcPr>
          <w:p>
            <w:pPr>
              <w:pStyle w:val="a"/>
              <w:jc w:val="left"/>
              <w:ind w:firstLine="0"/>
            </w:pPr>
            <w:r>
              <w:t>教师 token 分布或 log-prob</w:t>
            </w:r>
          </w:p>
        </w:tc>
        <w:tc>
          <w:tcPr>
            <w:tcW w:w="4148" w:type="dxa"/>
          </w:tcPr>
          <w:p>
            <w:pPr>
              <w:pStyle w:val="a"/>
              <w:jc w:val="left"/>
              <w:ind w:firstLine="0"/>
            </w:pPr>
            <w:r>
              <w:t>本课题的主要研究对象</w:t>
            </w:r>
          </w:p>
        </w:tc>
      </w:tr>
      <w:tr>
        <w:tc>
          <w:tcPr>
            <w:tcW w:w="4148" w:type="dxa"/>
          </w:tcPr>
          <w:p>
            <w:pPr>
              <w:pStyle w:val="a"/>
              <w:jc w:val="left"/>
              <w:ind w:firstLine="0"/>
            </w:pPr>
            <w:r>
              <w:t>偏好优化/RL</w:t>
            </w:r>
          </w:p>
        </w:tc>
        <w:tc>
          <w:tcPr>
            <w:tcW w:w="4148" w:type="dxa"/>
          </w:tcPr>
          <w:p>
            <w:pPr>
              <w:pStyle w:val="a"/>
              <w:jc w:val="left"/>
              <w:ind w:firstLine="0"/>
            </w:pPr>
            <w:r>
              <w:t>学生采样或离线偏好状态</w:t>
            </w:r>
          </w:p>
        </w:tc>
        <w:tc>
          <w:tcPr>
            <w:tcW w:w="4148" w:type="dxa"/>
          </w:tcPr>
          <w:p>
            <w:pPr>
              <w:pStyle w:val="a"/>
              <w:jc w:val="left"/>
              <w:ind w:firstLine="0"/>
            </w:pPr>
            <w:r>
              <w:t>偏好关系、环境奖励</w:t>
            </w:r>
          </w:p>
        </w:tc>
        <w:tc>
          <w:tcPr>
            <w:tcW w:w="4148" w:type="dxa"/>
          </w:tcPr>
          <w:p>
            <w:pPr>
              <w:pStyle w:val="a"/>
              <w:jc w:val="left"/>
              <w:ind w:firstLine="0"/>
            </w:pPr>
            <w:r>
              <w:t>说明密集教师反馈与稀疏奖励的差异</w:t>
            </w:r>
          </w:p>
        </w:tc>
      </w:tr>
    </w:tbl>
    <w:p>
      <w:pPr>
        <w:pStyle w:val="a"/>
        <w:jc w:val="both"/>
        <w:ind w:firstLine="420"/>
      </w:pPr>
      <w:r>
        <w:t>实际系统可以先使用 SFT 再进行 OPD，也可以将教师反馈与任务奖励结合。本课题聚焦 LoRA-OPD 路线，主要研究学生策略采样、教师分布反馈、散度方向和监督信息粒度；RLHF、DPO 等其他后训练方法仅作为研究背景。</w:t>
      </w:r>
    </w:p>
    <w:p>
      <w:pPr>
        <w:spacing w:line="360" w:lineRule="auto" w:before="0" w:after="0"/>
        <w:ind w:firstLine="420"/>
        <w:jc w:val="both"/>
      </w:pPr>
      <w:r>
        <w:rPr>
          <w:rFonts w:ascii="Times New Roman" w:hAnsi="Times New Roman" w:eastAsia="宋体"/>
          <w:sz w:val="24"/>
        </w:rPr>
        <w:t>经典知识蒸馏以教师软分布为监督，通过温度缩放暴露类别之间的相对关系[1]。在序列生成任务中，Kim 和 Rush 将蒸馏扩展到序列级目标，用教师生成序列替代或补充原始标签[2]；TinyBERT、DistilBERT 等工作又表明，中间层、注意力与输出分布可以在不同阶段组合使用[3][4]。这些方法奠定了大模型压缩的基本范式，但多数训练样本仍来自固定语料或教师轨迹，学生实际推理时产生的前缀并未充分进入训练分布。</w:t>
      </w:r>
    </w:p>
    <w:p>
      <w:pPr>
        <w:spacing w:line="360" w:lineRule="auto" w:before="0" w:after="0"/>
        <w:ind w:firstLine="420"/>
        <w:jc w:val="both"/>
      </w:pPr>
      <w:r>
        <w:rPr>
          <w:rFonts w:ascii="Times New Roman" w:hAnsi="Times New Roman" w:eastAsia="宋体"/>
          <w:sz w:val="24"/>
        </w:rPr>
        <w:t>模仿学习中的 DAgger 揭示了一个与语言模型生成高度相关的问题：当学习器在部署时依据自身预测不断推进状态，早期误差会改变后续输入分布，离线监督可能因此发生误差累积[5]。ImitKD 将这一思想引入神经机器翻译，在学生生成状态上查询教师并进行交互式蒸馏[6]。由此看，在线策略蒸馏的理论动机并非单纯追求更强教师，而是让监督发生在学生真正会访问的序列状态上，从而缩小训练分布与推理分布之间的偏移。</w:t>
      </w:r>
    </w:p>
    <w:p>
      <w:pPr>
        <w:pStyle w:val="2"/>
      </w:pPr>
      <w:r>
        <w:rPr>
          <w:rFonts w:ascii="SimHei" w:hAnsi="SimHei" w:eastAsia="黑体" w:cs="SimHei"/>
          <w:b/>
          <w:color w:val="000000"/>
          <w:sz w:val="24"/>
        </w:rPr>
        <w:t>2.2 分布偏移与在线策略蒸馏</w:t>
      </w:r>
    </w:p>
    <w:p>
      <w:pPr>
        <w:pStyle w:val="a"/>
        <w:jc w:val="both"/>
        <w:ind w:firstLine="420"/>
      </w:pPr>
      <w:r>
        <w:t>在自回归生成中，训练时的前缀通常来自参考序列，推理时的前缀来自模型自身。DAgger 在学生访问到的状态上向专家请求标签[3]，ImitKD 将这一思想用于自回归知识蒸馏[4]。OPD 延续这一思路，但将专家反馈从离散动作扩展为教师模型的 token 分布或 log-prob。</w:t>
      </w:r>
    </w:p>
    <w:p>
      <w:pPr>
        <w:pStyle w:val="a"/>
        <w:jc w:val="both"/>
        <w:ind w:firstLine="420"/>
      </w:pPr>
      <w:r>
        <w:t>GKD 研究学生自生成错误上的蒸馏，并比较不同生成和散度设置[7]；MiniLLM 讨论 Reverse KL 的序列级目标与模式选择特性[8]；DistiLLM 通过 skew KL 和样本复用探索效果与成本的折中[9]。Thinking Machines Lab 的技术文章总结了学生 rollout、教师逐 token 反馈和 Reverse KL 的工程流程，可为本课题的系统实现提供参考[10]。</w:t>
      </w:r>
    </w:p>
    <w:p>
      <w:pPr>
        <w:pStyle w:val="a"/>
        <w:jc w:val="both"/>
        <w:ind w:firstLine="420"/>
      </w:pPr>
      <w:r>
        <w:t>近年的研究进一步指出，OPD 的效果与师生思维模式兼容性、教师提供新能力的程度、提示带来的状态覆盖及轨迹长度有关[11][12]；采样 token 的信号不平衡、学生前缀漂移、特殊 token 和 tokenizer 差异则会影响训练稳定性[13]。Hybrid Policy Distillation 讨论前向和反向 KL 的混合方式[14]，相关综述从优化对象、监督来源和稳定化策略对这些工作进行分类[15]。这些研究为本课题的变量选择和分析维度提供了依据。</w:t>
      </w:r>
    </w:p>
    <w:p>
      <w:pPr>
        <w:pStyle w:val="a"/>
        <w:jc w:val="both"/>
        <w:ind w:firstLine="420"/>
      </w:pPr>
      <w:r>
        <w:t>为便于比较，本文将 OPD 拆分为三个层面：学生是否参与生成训练状态，教师是否在学生前缀上评分，以及蒸馏目标如何将采样结果转化为训练信号。GKD 的 token 级比较、MiniLLM 的序列级或策略式目标、DistiLLM 的样本复用机制在这些层面上有所不同。因此，实验记录将分别说明散度定义和实现估计器。</w:t>
      </w:r>
    </w:p>
    <w:p>
      <w:pPr>
        <w:pStyle w:val="a"/>
        <w:jc w:val="both"/>
        <w:ind w:firstLine="420"/>
      </w:pPr>
      <w:r>
        <w:t>教师能力与学生学习效果还受到模型兼容性的影响。师生在推理模式、输出格式或工具调用习惯上的差异，会改变教师在学生访问状态上提供的信号；学生容量也会影响其吸收完整教师分布的能力。Rethinking OPD 系列文献对兼容性、状态覆盖和提示多样性的讨论[12][13]，为本课题分析师生分布重叠和格式错误提供了研究依据。</w:t>
      </w:r>
    </w:p>
    <w:p>
      <w:pPr>
        <w:spacing w:line="360" w:lineRule="auto" w:before="0" w:after="0"/>
        <w:ind w:firstLine="420"/>
        <w:jc w:val="both"/>
      </w:pPr>
      <w:r>
        <w:rPr>
          <w:rFonts w:ascii="Times New Roman" w:hAnsi="Times New Roman" w:eastAsia="宋体"/>
          <w:sz w:val="24"/>
        </w:rPr>
        <w:t>在线策略蒸馏并不是简单地把教师 logits 换到新的数据批次上，而是改变了训练状态的来源。GKD 允许学生在训练过程中生成序列，并在这些学生到访状态上接受教师分布监督，同时把传统 Forward KL 扩展为可配置的散度族[7]。MiniLLM 则从序列级优化出发采用 Reverse KL，使学生更集中地拟合教师分布中与自身生成轨迹相容的高概率区域[8]。DistiLLM 进一步使用偏斜 KL 与自适应采样机制缓和纯 Reverse KL 的过度模式选择倾向，并讨论如何复用教师反馈以提高训练效率[9]。这些工作共同说明，在线策略蒸馏的关键变量至少包括状态分布、散度方向和教师信息的获取方式，三者不能彼此替代。</w:t>
      </w:r>
    </w:p>
    <w:p>
      <w:pPr>
        <w:spacing w:line="360" w:lineRule="auto" w:before="0" w:after="0"/>
        <w:ind w:firstLine="420"/>
        <w:jc w:val="both"/>
      </w:pPr>
      <w:r>
        <w:rPr>
          <w:rFonts w:ascii="Times New Roman" w:hAnsi="Times New Roman" w:eastAsia="宋体"/>
          <w:sz w:val="24"/>
        </w:rPr>
        <w:t>近期研究开始把注意力从“是否使用学生生成数据”推进到“学生究竟访问了哪些状态”。相关分析指出，即使采用同一教师和同一损失，不同 rollout 策略、数据混合比例与初始学生能力也会改变教师监督实际覆盖的状态区域[11][12]；另有研究重新审视在线蒸馏中的数据来源、采样预算和训练稳定性，强调性能增益应与额外教师推理成本一并报告[13]。HPD 从异构偏好角度讨论教师与学生分布差异，说明单一 KL 方向并不一定适用于所有样本和训练阶段[14]。因此，本课题不把在线策略蒸馏视为一个孤立算法名称，而把它作为受控实验框架，用同一数据、模型、预算和评测协议分离考察不同设计因素。</w:t>
      </w:r>
    </w:p>
    <w:p>
      <w:pPr>
        <w:pStyle w:val="2"/>
      </w:pPr>
      <w:r>
        <w:rPr>
          <w:rFonts w:ascii="SimHei" w:hAnsi="SimHei" w:eastAsia="黑体" w:cs="SimHei"/>
          <w:b/>
          <w:color w:val="000000"/>
          <w:sz w:val="24"/>
        </w:rPr>
        <w:t>2.3 KL 散度方向与广义散度</w:t>
      </w:r>
    </w:p>
    <w:p>
      <w:pPr>
        <w:pStyle w:val="a"/>
        <w:jc w:val="both"/>
        <w:ind w:firstLine="420"/>
      </w:pPr>
      <w:r>
        <w:t>KL 散度的经典定义来自 Kullback 和 Leibler 的信息论研究[17]。令 p_T 和 p_S 分别表示教师分布和学生分布，Forward KL 与 Reverse KL 定义为：</w:t>
      </w:r>
    </w:p>
    <w:p>
      <w:pPr>
        <w:pStyle w:val="a"/>
        <w:jc w:val="center"/>
        <w:ind w:firstLine="0"/>
      </w:pPr>
      <m:oMath xmlns:mml="http://www.w3.org/1998/Math/MathML">
        <m:sSub>
          <m:e>
            <m:r>
              <m:t>D</m:t>
            </m:r>
          </m:e>
          <m:sub>
            <m:r>
              <m:rPr>
                <m:sty m:val="p"/>
              </m:rPr>
              <m:t>FKL</m:t>
            </m:r>
          </m:sub>
        </m:sSub>
        <m:d>
          <m:dPr>
            <m:sepChr m:val=","/>
          </m:dPr>
          <m:e>
            <m:sSub>
              <m:e>
                <m:r>
                  <m:t>p</m:t>
                </m:r>
              </m:e>
              <m:sub>
                <m:r>
                  <m:t>T</m:t>
                </m:r>
              </m:sub>
            </m:sSub>
            <m:r>
              <m:t>∥</m:t>
            </m:r>
            <m:sSub>
              <m:e>
                <m:r>
                  <m:t>p</m:t>
                </m:r>
              </m:e>
              <m:sub>
                <m:r>
                  <m:t>S</m:t>
                </m:r>
              </m:sub>
            </m:sSub>
          </m:e>
        </m:d>
        <m:r>
          <m:t>=</m:t>
        </m:r>
        <m:nary>
          <m:naryPr>
            <m:chr m:val="∑"/>
            <m:limLoc m:val="subSup"/>
            <m:grow m:val="1"/>
            <m:subHide m:val="off"/>
            <m:supHide m:val="on"/>
          </m:naryPr>
          <m:sub>
            <m:r>
              <m:t>v∈𝒱</m:t>
            </m:r>
          </m:sub>
          <m:sup/>
          <m:e>
            <m:sSub>
              <m:e>
                <m:r>
                  <m:t>p</m:t>
                </m:r>
              </m:e>
              <m:sub>
                <m:r>
                  <m:t>T</m:t>
                </m:r>
              </m:sub>
            </m:sSub>
            <m:d>
              <m:dPr>
                <m:sepChr m:val=","/>
              </m:dPr>
              <m:e>
                <m:r>
                  <m:t>v</m:t>
                </m:r>
              </m:e>
            </m:d>
          </m:e>
        </m:nary>
        <m:r>
          <m:rPr>
            <m:sty m:val="p"/>
          </m:rPr>
          <m:t>log</m:t>
        </m:r>
        <m:d>
          <m:dPr>
            <m:sepChr m:val=","/>
          </m:dPr>
          <m:e>
            <m:f>
              <m:fPr>
                <m:type m:val="bar"/>
              </m:fPr>
              <m:num>
                <m:sSub>
                  <m:e>
                    <m:r>
                      <m:t>p</m:t>
                    </m:r>
                  </m:e>
                  <m:sub>
                    <m:r>
                      <m:t>T</m:t>
                    </m:r>
                  </m:sub>
                </m:sSub>
                <m:d>
                  <m:dPr>
                    <m:sepChr m:val=","/>
                  </m:dPr>
                  <m:e>
                    <m:r>
                      <m:t>v</m:t>
                    </m:r>
                  </m:e>
                </m:d>
              </m:num>
              <m:den>
                <m:sSub>
                  <m:e>
                    <m:r>
                      <m:t>p</m:t>
                    </m:r>
                  </m:e>
                  <m:sub>
                    <m:r>
                      <m:t>S</m:t>
                    </m:r>
                  </m:sub>
                </m:sSub>
                <m:d>
                  <m:dPr>
                    <m:sepChr m:val=","/>
                  </m:dPr>
                  <m:e>
                    <m:r>
                      <m:t>v</m:t>
                    </m:r>
                  </m:e>
                </m:d>
              </m:den>
            </m:f>
          </m:e>
        </m:d>
      </m:oMath>
    </w:p>
    <w:p>
      <w:pPr>
        <w:jc w:val="center"/>
      </w:pPr>
      <m:oMath xmlns:mml="http://www.w3.org/1998/Math/MathML">
        <m:sSub>
          <m:e>
            <m:r>
              <m:t>D</m:t>
            </m:r>
          </m:e>
          <m:sub>
            <m:r>
              <m:rPr>
                <m:sty m:val="p"/>
              </m:rPr>
              <m:t>RKL</m:t>
            </m:r>
          </m:sub>
        </m:sSub>
        <m:d>
          <m:dPr>
            <m:sepChr m:val=","/>
          </m:dPr>
          <m:e>
            <m:sSub>
              <m:e>
                <m:r>
                  <m:t>p</m:t>
                </m:r>
              </m:e>
              <m:sub>
                <m:r>
                  <m:t>S</m:t>
                </m:r>
              </m:sub>
            </m:sSub>
            <m:r>
              <m:t>∥</m:t>
            </m:r>
            <m:sSub>
              <m:e>
                <m:r>
                  <m:t>p</m:t>
                </m:r>
              </m:e>
              <m:sub>
                <m:r>
                  <m:t>T</m:t>
                </m:r>
              </m:sub>
            </m:sSub>
          </m:e>
        </m:d>
        <m:r>
          <m:t>=</m:t>
        </m:r>
        <m:nary>
          <m:naryPr>
            <m:chr m:val="∑"/>
            <m:limLoc m:val="subSup"/>
            <m:grow m:val="1"/>
            <m:subHide m:val="off"/>
            <m:supHide m:val="on"/>
          </m:naryPr>
          <m:sub>
            <m:r>
              <m:t>v∈𝒱</m:t>
            </m:r>
          </m:sub>
          <m:sup/>
          <m:e>
            <m:sSub>
              <m:e>
                <m:r>
                  <m:t>p</m:t>
                </m:r>
              </m:e>
              <m:sub>
                <m:r>
                  <m:t>S</m:t>
                </m:r>
              </m:sub>
            </m:sSub>
            <m:d>
              <m:dPr>
                <m:sepChr m:val=","/>
              </m:dPr>
              <m:e>
                <m:r>
                  <m:t>v</m:t>
                </m:r>
              </m:e>
            </m:d>
          </m:e>
        </m:nary>
        <m:r>
          <m:rPr>
            <m:sty m:val="p"/>
          </m:rPr>
          <m:t>log</m:t>
        </m:r>
        <m:d>
          <m:dPr>
            <m:sepChr m:val=","/>
          </m:dPr>
          <m:e>
            <m:f>
              <m:fPr>
                <m:type m:val="bar"/>
              </m:fPr>
              <m:num>
                <m:sSub>
                  <m:e>
                    <m:r>
                      <m:t>p</m:t>
                    </m:r>
                  </m:e>
                  <m:sub>
                    <m:r>
                      <m:t>S</m:t>
                    </m:r>
                  </m:sub>
                </m:sSub>
                <m:d>
                  <m:dPr>
                    <m:sepChr m:val=","/>
                  </m:dPr>
                  <m:e>
                    <m:r>
                      <m:t>v</m:t>
                    </m:r>
                  </m:e>
                </m:d>
              </m:num>
              <m:den>
                <m:sSub>
                  <m:e>
                    <m:r>
                      <m:t>p</m:t>
                    </m:r>
                  </m:e>
                  <m:sub>
                    <m:r>
                      <m:t>T</m:t>
                    </m:r>
                  </m:sub>
                </m:sSub>
                <m:d>
                  <m:dPr>
                    <m:sepChr m:val=","/>
                  </m:dPr>
                  <m:e>
                    <m:r>
                      <m:t>v</m:t>
                    </m:r>
                  </m:e>
                </m:d>
              </m:den>
            </m:f>
          </m:e>
        </m:d>
      </m:oMath>
    </w:p>
    <w:p>
      <w:pPr>
        <w:pStyle w:val="a"/>
        <w:jc w:val="both"/>
        <w:ind w:firstLine="420"/>
      </w:pPr>
      <w:r>
        <w:t>Forward KL 按教师概率加权，倾向于要求学生覆盖教师分布的多个有质量区域；Reverse KL 按学生概率加权，更关注学生自身可能生成的区域。文献常将前者描述为 mode-covering 倾向、后者描述为 mode-seeking 倾向，但这些是解释生成行为的启发性表述，实际训练还受模型容量、温度、采样和支持集影响[7][8]。</w:t>
      </w:r>
    </w:p>
    <w:p>
      <w:pPr>
        <w:pStyle w:val="a"/>
        <w:jc w:val="both"/>
        <w:ind w:firstLine="420"/>
      </w:pPr>
      <w:r>
        <w:t>广义散度用于在不同分布匹配偏好之间取得折中。Jensen-Shannon 散度通过教师分布与学生分布的混合分布定义，其形式为[18]：</w:t>
      </w:r>
    </w:p>
    <w:p>
      <w:pPr>
        <w:pStyle w:val="a"/>
        <w:jc w:val="center"/>
        <w:ind w:firstLine="0"/>
      </w:pPr>
      <m:oMath xmlns:mml="http://www.w3.org/1998/Math/MathML">
        <m:r>
          <m:t>m=</m:t>
        </m:r>
        <m:f>
          <m:fPr>
            <m:type m:val="bar"/>
          </m:fPr>
          <m:num>
            <m:sSub>
              <m:e>
                <m:r>
                  <m:t>p</m:t>
                </m:r>
              </m:e>
              <m:sub>
                <m:r>
                  <m:t>T</m:t>
                </m:r>
              </m:sub>
            </m:sSub>
            <m:r>
              <m:t>+</m:t>
            </m:r>
            <m:sSub>
              <m:e>
                <m:r>
                  <m:t>p</m:t>
                </m:r>
              </m:e>
              <m:sub>
                <m:r>
                  <m:t>S</m:t>
                </m:r>
              </m:sub>
            </m:sSub>
          </m:num>
          <m:den>
            <m:r>
              <m:t>2</m:t>
            </m:r>
          </m:den>
        </m:f>
        <m:r>
          <m:t>,</m:t>
        </m:r>
        <m:sSub>
          <m:e>
            <m:r>
              <m:t>D</m:t>
            </m:r>
          </m:e>
          <m:sub>
            <m:r>
              <m:rPr>
                <m:sty m:val="p"/>
              </m:rPr>
              <m:t>JS</m:t>
            </m:r>
          </m:sub>
        </m:sSub>
        <m:d>
          <m:dPr>
            <m:sepChr m:val=","/>
          </m:dPr>
          <m:e>
            <m:sSub>
              <m:e>
                <m:r>
                  <m:t>p</m:t>
                </m:r>
              </m:e>
              <m:sub>
                <m:r>
                  <m:t>T</m:t>
                </m:r>
              </m:sub>
            </m:sSub>
            <m:r>
              <m:t>,</m:t>
            </m:r>
            <m:sSub>
              <m:e>
                <m:r>
                  <m:t>p</m:t>
                </m:r>
              </m:e>
              <m:sub>
                <m:r>
                  <m:t>S</m:t>
                </m:r>
              </m:sub>
            </m:sSub>
          </m:e>
        </m:d>
        <m:r>
          <m:t>=</m:t>
        </m:r>
        <m:f>
          <m:fPr>
            <m:type m:val="bar"/>
          </m:fPr>
          <m:num>
            <m:r>
              <m:t>1</m:t>
            </m:r>
          </m:num>
          <m:den>
            <m:r>
              <m:t>2</m:t>
            </m:r>
          </m:den>
        </m:f>
        <m:sSub>
          <m:e>
            <m:r>
              <m:t>D</m:t>
            </m:r>
          </m:e>
          <m:sub>
            <m:r>
              <m:rPr>
                <m:sty m:val="p"/>
              </m:rPr>
              <m:t>KL</m:t>
            </m:r>
          </m:sub>
        </m:sSub>
        <m:d>
          <m:dPr>
            <m:sepChr m:val=","/>
          </m:dPr>
          <m:e>
            <m:sSub>
              <m:e>
                <m:r>
                  <m:t>p</m:t>
                </m:r>
              </m:e>
              <m:sub>
                <m:r>
                  <m:t>T</m:t>
                </m:r>
              </m:sub>
            </m:sSub>
            <m:r>
              <m:t>∥m</m:t>
            </m:r>
          </m:e>
        </m:d>
        <m:r>
          <m:t>+</m:t>
        </m:r>
        <m:f>
          <m:fPr>
            <m:type m:val="bar"/>
          </m:fPr>
          <m:num>
            <m:r>
              <m:t>1</m:t>
            </m:r>
          </m:num>
          <m:den>
            <m:r>
              <m:t>2</m:t>
            </m:r>
          </m:den>
        </m:f>
        <m:sSub>
          <m:e>
            <m:r>
              <m:t>D</m:t>
            </m:r>
          </m:e>
          <m:sub>
            <m:r>
              <m:rPr>
                <m:sty m:val="p"/>
              </m:rPr>
              <m:t>KL</m:t>
            </m:r>
          </m:sub>
        </m:sSub>
        <m:d>
          <m:dPr>
            <m:sepChr m:val=","/>
          </m:dPr>
          <m:e>
            <m:sSub>
              <m:e>
                <m:r>
                  <m:t>p</m:t>
                </m:r>
              </m:e>
              <m:sub>
                <m:r>
                  <m:t>S</m:t>
                </m:r>
              </m:sub>
            </m:sSub>
            <m:r>
              <m:t>∥m</m:t>
            </m:r>
          </m:e>
        </m:d>
      </m:oMath>
    </w:p>
    <w:p>
      <w:pPr>
        <w:pStyle w:val="a"/>
        <w:jc w:val="both"/>
        <w:ind w:firstLine="420"/>
      </w:pPr>
      <w:r>
        <w:t>广义散度部分主要分析 JSD、skew KL 等代表性目标，研究其在教师分布覆盖、学生高概率区域和训练稳定性方面的差异。实验配置统一记录目标函数形式、混合参数、支持集和 K1 估计方式。</w:t>
      </w:r>
    </w:p>
    <w:p>
      <w:pPr>
        <w:pStyle w:val="a"/>
        <w:jc w:val="both"/>
        <w:ind w:firstLine="420"/>
      </w:pPr>
      <w:r>
        <w:t>散度方向在 Function Calling 中可能表现为不同的行为。对于同一用户请求，教师可能为多个函数或多种参数表达赋予合理概率；Forward KL 更关注这些候选区域的覆盖，Reverse KL 更关注学生已经形成的高概率选择，广义散度则在两种偏好之间进行调节。实验将从工具选择、参数生成、格式正确性和拒答行为四个方面分析这些差异。</w:t>
      </w:r>
    </w:p>
    <w:p>
      <w:pPr>
        <w:pStyle w:val="a"/>
        <w:jc w:val="both"/>
        <w:ind w:firstLine="420"/>
      </w:pPr>
      <w:r>
        <w:t>监督信息的保留范围和估计方式会改变散度的估计对象。全词表方案保留教师在有效位置上的完整分布；Top-K 方案保留明确支持集中的高概率信息，并规定重归一化与支持集外概率的处理；K1 sampled-token 使用一个采样 token 对相应期望进行单样本估计。比较时同时记录监督信息覆盖范围、教师前向次数、学生生成量、训练资源和任务指标。</w:t>
      </w:r>
    </w:p>
    <w:p>
      <w:pPr>
        <w:spacing w:line="360" w:lineRule="auto" w:before="0" w:after="0"/>
        <w:ind w:firstLine="420"/>
        <w:jc w:val="both"/>
      </w:pPr>
      <w:r>
        <w:rPr>
          <w:rFonts w:ascii="Times New Roman" w:hAnsi="Times New Roman" w:eastAsia="宋体"/>
          <w:sz w:val="24"/>
        </w:rPr>
        <w:t>从分布几何看，Forward KL 对教师分布具有覆盖倾向：只要教师在某个 token 上赋予不可忽略的概率，学生过低的概率就会带来较大惩罚；Reverse KL 更强调学生当前支持集上的概率质量，容易把更新集中到少数高概率模式。前者有助于保留教师分布中的次优但合理候选，后者在学生容量有限时可能更符合“优先学会最可能答案”的资源分配方式[8][10]。然而，这种差异会受到温度、序列长度、有效 token Mask 和支持集截断方式影响，不能仅依据损失名称推断最终效果。</w:t>
      </w:r>
    </w:p>
    <w:p>
      <w:pPr>
        <w:spacing w:line="360" w:lineRule="auto" w:before="0" w:after="0"/>
        <w:ind w:firstLine="420"/>
        <w:jc w:val="both"/>
      </w:pPr>
      <w:r>
        <w:rPr>
          <w:rFonts w:ascii="Times New Roman" w:hAnsi="Times New Roman" w:eastAsia="宋体"/>
          <w:sz w:val="24"/>
        </w:rPr>
        <w:t>广义散度的意义在于提供连续的折中机制。GKD 使用可调散度族统一若干常见目标[7]，DistiLLM 通过偏斜 KL 在分布覆盖与模式选择之间调节[9]，HPD 则从异构性出发讨论样本级或阶段级适配的必要性[14]。对小模型而言，散度选择还与数值实现直接相关：Top-K 后的重新归一化、教师概率下界、混合精度下的 log-sum-exp 以及序列 Mask 都会改变梯度尺度。本课题因而把散度定义、支持集协议和稳定化实现绑定记录，使比较能够追溯到实际计算过程，而不是停留在公式层面。</w:t>
      </w:r>
    </w:p>
    <w:p>
      <w:pPr>
        <w:pStyle w:val="2"/>
      </w:pPr>
      <w:r>
        <w:rPr>
          <w:rFonts w:ascii="SimHei" w:hAnsi="SimHei" w:eastAsia="黑体" w:cs="SimHei"/>
          <w:b/>
          <w:color w:val="000000"/>
          <w:sz w:val="24"/>
        </w:rPr>
        <w:t>2.4 监督信息粒度与资源效率</w:t>
      </w:r>
    </w:p>
    <w:p>
      <w:pPr>
        <w:pStyle w:val="a"/>
        <w:jc w:val="both"/>
        <w:ind w:firstLine="420"/>
      </w:pPr>
      <w:r>
        <w:t>全词表监督在每个位置保留教师完整分布，信息较充分，但词表维度会带来较大的计算、显存和传输开销。Top-K 监督只保留指定支持集中的高概率 token，需要明确 K 值、支持集来源、截断后的归一化和支持集外 token 的处理。K1 sampled-token 对分布目标进行单样本采样估计。相关 OPD 研究为监督信息覆盖和稳定性分析提供了参考[11][13]，本课题将在统一任务中比较三种方案的效果与资源开销。</w:t>
      </w:r>
    </w:p>
    <w:p>
      <w:pPr>
        <w:pStyle w:val="a"/>
        <w:jc w:val="both"/>
        <w:ind w:firstLine="420"/>
      </w:pPr>
      <w:r>
        <w:t>Qwen3 技术报告提供了模型家族的背景信息[16]。LoRA 通过低秩增量减少需要更新的参数量[19]，为小模型后训练提供了参数高效的实现路径。量化适配会引入新的资源变量，因此不纳入主要比较。</w:t>
      </w:r>
    </w:p>
    <w:p>
      <w:pPr>
        <w:spacing w:line="360" w:lineRule="auto" w:before="0" w:after="0"/>
        <w:ind w:firstLine="420"/>
        <w:jc w:val="both"/>
      </w:pPr>
      <w:r>
        <w:rPr>
          <w:rFonts w:ascii="Times New Roman" w:hAnsi="Times New Roman" w:eastAsia="宋体"/>
          <w:sz w:val="24"/>
        </w:rPr>
        <w:t>监督信息粒度决定了教师知识的表达能力和计算代价。全词表分布最完整，能够保留长尾 token 之间的相对关系，但需要传输或即时计算大量 logits；Top-K 只保留主要概率质量，显著降低存储和通信压力，却引入支持集选择与尾部质量处理问题；K1 sampled-token 进一步把监督压缩为单样本估计，计算开销最低，但梯度方差、proposal 分布和随机种子会直接影响训练稳定性。相关在线蒸馏研究已经表明，教师信息量与最终性能并非简单线性关系，学生到访状态是否有效以及有限预算是否被用于高价值 token 同样重要[11][13]。</w:t>
      </w:r>
    </w:p>
    <w:p>
      <w:pPr>
        <w:spacing w:line="360" w:lineRule="auto" w:before="0" w:after="0"/>
        <w:ind w:firstLine="420"/>
        <w:jc w:val="both"/>
      </w:pPr>
      <w:r>
        <w:rPr>
          <w:rFonts w:ascii="Times New Roman" w:hAnsi="Times New Roman" w:eastAsia="宋体"/>
          <w:sz w:val="24"/>
        </w:rPr>
        <w:t>参数高效微调为本科阶段开展受控研究提供了现实路径。LoRA 通过低秩增量限制可训练参数规模[17]，QLoRA 又展示了量化基座与低秩适配结合的可行性[18]；在本课题中，LoRA 的作用是统一学生侧的更新接口，而不是替代蒸馏方法本身。教师前向、学生 rollout、损失计算和 LoRA 反向传播仍构成主要成本，因此实验除任务指标外还需记录单步耗时、峰值显存、有效 token 吞吐与教师调用量，以判断某种监督粒度带来的收益是否足以抵偿资源消耗。</w:t>
      </w:r>
    </w:p>
    <w:p>
      <w:pPr>
        <w:pStyle w:val="2"/>
      </w:pPr>
      <w:r>
        <w:rPr>
          <w:rFonts w:ascii="SimHei" w:hAnsi="SimHei" w:eastAsia="黑体" w:cs="SimHei"/>
          <w:b/>
          <w:color w:val="000000"/>
          <w:sz w:val="24"/>
        </w:rPr>
        <w:t>2.5 Function Calling 数据与评测研究</w:t>
      </w:r>
    </w:p>
    <w:p>
      <w:pPr>
        <w:pStyle w:val="a"/>
        <w:jc w:val="both"/>
        <w:ind w:firstLine="420"/>
      </w:pPr>
      <w:r>
        <w:t>Function Calling 研究形成了从 API 文档理解、函数检索、调用规划到执行评测的不同路线。Gorilla/APIBench 关注 API 文档和调用正确性[22]；API-Bank 覆盖工具规划、API 检索和调用[23]；ToolLLM/ToolBench 构造了大量真实 API 相关任务，并讨论多工具和多步调用[24]；APIGen 强调可执行 API、格式检查和语义验证[25]；ToolACE 采用 API 池和多层检查生成多样的函数调用数据[26]。</w:t>
      </w:r>
    </w:p>
    <w:p>
      <w:pPr>
        <w:pStyle w:val="a"/>
        <w:jc w:val="both"/>
        <w:ind w:firstLine="420"/>
      </w:pPr>
      <w:r>
        <w:t>本课题使用公开 Function Calling 数据。APIGen、ToolACE、API-Bank 和 ToolBench 为数据来源筛选、任务分类和评测设计提供参考。数据准备阶段将记录数据快照、许可证、字段映射、过滤规则、重复样本处理及其与独立测试集的重叠检查。</w:t>
      </w:r>
    </w:p>
    <w:p>
      <w:pPr>
        <w:pStyle w:val="a"/>
        <w:jc w:val="both"/>
        <w:ind w:firstLine="420"/>
      </w:pPr>
      <w:r>
        <w:t>公开数据进入训练前需要经过结构、语义和执行三方面检查。结构检查关注工具 schema、函数名、参数类型和目标调用的统一解析；语义检查关注用户问题与目标工具、目标参数之间的一致性；执行检查关注调用在本地模拟环境中的运行结果及其对后续对话的支持。APIGen 和 ToolACE 的多层检查方法为数据审计提供了参考[25][26]。</w:t>
      </w:r>
    </w:p>
    <w:p>
      <w:pPr>
        <w:pStyle w:val="a"/>
        <w:jc w:val="both"/>
        <w:ind w:firstLine="420"/>
      </w:pPr>
      <w:r>
        <w:t>训练集与测试集还应避免工具 schema、用户问题模板和目标调用的重复。若训练数据和 BFCL 或其他独立测试集共享相同的 API 定义，可能造成模型记忆而非泛化；若不同数据集只在工具名上不同、参数结构相同，也需要在分析中注明潜在泄漏。最终数据审计报告应保存样本字段统计、异常类别、去重规则和版本指纹。</w:t>
      </w:r>
    </w:p>
    <w:p>
      <w:pPr>
        <w:pStyle w:val="a"/>
        <w:jc w:val="both"/>
        <w:ind w:firstLine="420"/>
      </w:pPr>
      <w:r>
        <w:t>BFCL 覆盖结构化调用、并行调用、串行调用和拒答等评测场景[27]。本课题将结合公开 Function Calling 测试规范和自建模拟函数，分别评估格式合法率、函数选择准确率、参数准确率、调用执行成功率和端到端任务成功率。</w:t>
      </w:r>
    </w:p>
    <w:p>
      <w:pPr>
        <w:spacing w:line="360" w:lineRule="auto" w:before="0" w:after="0"/>
        <w:ind w:firstLine="420"/>
        <w:jc w:val="both"/>
      </w:pPr>
      <w:r>
        <w:rPr>
          <w:rFonts w:ascii="Times New Roman" w:hAnsi="Times New Roman" w:eastAsia="宋体"/>
          <w:sz w:val="24"/>
        </w:rPr>
        <w:t>Function Calling 数据研究经历了从少量人工接口描述到大规模合成、执行校验和难例生成的发展。Gorilla 关注 API 检索与调用生成[21]，API-Bank 和 ToolLLM/ToolBench 将多工具、多轮交互与工具学习过程纳入数据构造[23][26]；APIGen 强调可验证的函数调用数据生成流程[24]，ToolACE 则进一步扩展工具类型和调用模式[25]。这些数据集在 schema 形式、参数约束、对话模板和可执行性方面并不完全一致，直接拼接容易把模板差异误当成模型能力差异，因此训练前的字段映射、去重、可解析性检查和 schema 一致性审计是方法比较的必要前提。</w:t>
      </w:r>
    </w:p>
    <w:p>
      <w:pPr>
        <w:spacing w:line="360" w:lineRule="auto" w:before="0" w:after="0"/>
        <w:ind w:firstLine="420"/>
        <w:jc w:val="both"/>
      </w:pPr>
      <w:r>
        <w:rPr>
          <w:rFonts w:ascii="Times New Roman" w:hAnsi="Times New Roman" w:eastAsia="宋体"/>
          <w:sz w:val="24"/>
        </w:rPr>
        <w:t>评测方面，Berkeley Function Calling Leaderboard 采用真实与合成场景检验函数选择、参数生成及多轮调用能力，为统一测试提供了较成熟的任务划分[22]。但仅报告总体准确率仍可能掩盖不同错误来源：模型可能选错函数、遗漏必需参数、生成不可解析 JSON，或在无需调用时过度调用。本课题将在统一解码协议下分层统计结构合法率、函数选择正确率、参数级正确性和端到端成功率，并把训练效率、推理吞吐和显存占用纳入性能分析。这样既能对应公开评测，又能解释不同蒸馏目标和监督粒度为何产生差异。</w:t>
      </w:r>
    </w:p>
    <w:p>
      <w:pPr>
        <w:spacing w:line="360" w:lineRule="auto" w:before="0" w:after="0"/>
        <w:ind w:firstLine="420"/>
        <w:jc w:val="both"/>
      </w:pPr>
      <w:r>
        <w:rPr>
          <w:rFonts w:ascii="Times New Roman" w:hAnsi="Times New Roman" w:eastAsia="宋体"/>
          <w:sz w:val="24"/>
        </w:rPr>
        <w:t>综上，现有研究已经形成从学生状态采样、教师分布监督到参数高效更新的完整技术链条，但不同论文往往同时改变模型规模、数据来源、散度目标和教师信息预算，结果难以直接横向比较。本文将以 Qwen3-4B 教师、Qwen3-0.6B 学生和公开 Function Calling 数据为统一载体，围绕 Forward KL、Reverse KL、广义散度以及全词表、Top-K、K1 三类监督方式开展受控性能分析；这一安排是对既有方法变量的系统化复现与比较，不预设尚未获得实验支持的结论。</w:t>
      </w:r>
    </w:p>
    <w:p>
      <w:pPr>
        <w:pStyle w:val="1"/>
      </w:pPr>
      <w:r>
        <w:rPr>
          <w:rFonts w:ascii="SimHei" w:hAnsi="SimHei" w:eastAsia="黑体" w:cs="SimHei"/>
          <w:b/>
          <w:color w:val="000000"/>
          <w:sz w:val="28"/>
        </w:rPr>
        <w:t>3．主要研究内容</w:t>
      </w:r>
    </w:p>
    <w:p>
      <w:pPr>
        <w:pStyle w:val="2"/>
      </w:pPr>
      <w:r>
        <w:rPr>
          <w:rFonts w:ascii="SimHei" w:hAnsi="SimHei" w:eastAsia="黑体" w:cs="SimHei"/>
          <w:b/>
          <w:color w:val="000000"/>
          <w:sz w:val="24"/>
        </w:rPr>
        <w:t>3.1 统一的在线策略蒸馏研究流程</w:t>
      </w:r>
    </w:p>
    <w:p>
      <w:pPr>
        <w:pStyle w:val="a"/>
        <w:jc w:val="both"/>
        <w:ind w:firstLine="420"/>
      </w:pPr>
      <w:r>
        <w:t>研究流程以学生自身生成的 Function Calling 轨迹为中心：学生在 LoRA 参数下生成函数调用或响应，冻结教师在学生访问到的前缀上提供 token 级分布反馈，学生依据所选散度和监督信息粒度更新 LoRA。不同方案使用统一的数据、模型模板、训练预算和评测规则，并记录学生轨迹、教师反馈、损失状态与资源占用。该流程借鉴 GKD、MiniLLM 对学生状态与教师反馈的讨论，并参考 Thinking Machines Lab 技术文章中的工程实现[7][8][10]。</w:t>
      </w:r>
    </w:p>
    <w:p>
      <w:pPr>
        <w:pStyle w:val="2"/>
      </w:pPr>
      <w:r>
        <w:rPr>
          <w:rFonts w:ascii="SimHei" w:hAnsi="SimHei" w:eastAsia="黑体" w:cs="SimHei"/>
          <w:b/>
          <w:color w:val="000000"/>
          <w:sz w:val="24"/>
        </w:rPr>
        <w:t>3.2 三类散度目标</w:t>
      </w:r>
    </w:p>
    <w:p>
      <w:pPr>
        <w:pStyle w:val="a"/>
        <w:jc w:val="both"/>
        <w:ind w:firstLine="420"/>
      </w:pPr>
      <w:r>
        <w:t>研究内容一是比较 Forward KL、Reverse KL 和代表性广义散度。Forward KL 用于研究教师分布覆盖，Reverse KL 用于研究学生实际生成区域与教师分布的匹配，广义散度用于考察两种偏好之间的折中。各目标使用统一的输入、Mask、支持集说明与数值精度设置。</w:t>
      </w:r>
    </w:p>
    <w:p>
      <w:pPr>
        <w:pStyle w:val="2"/>
      </w:pPr>
      <w:r>
        <w:rPr>
          <w:rFonts w:ascii="SimHei" w:hAnsi="SimHei" w:eastAsia="黑体" w:cs="SimHei"/>
          <w:b/>
          <w:color w:val="000000"/>
          <w:sz w:val="24"/>
        </w:rPr>
        <w:t>3.3 三种监督信息粒度/估计方式</w:t>
      </w:r>
    </w:p>
    <w:p>
      <w:pPr>
        <w:pStyle w:val="a"/>
        <w:jc w:val="both"/>
        <w:ind w:firstLine="420"/>
      </w:pPr>
      <w:r>
        <w:t>研究内容二是统一比较三种监督信息粒度/估计方式：</w:t>
      </w:r>
    </w:p>
    <w:p>
      <w:pPr>
        <w:pStyle w:val="a8"/>
        <w:jc w:val="left"/>
        <w:ind w:firstLine="420"/>
      </w:pPr>
      <w:r>
        <w:t xml:space="preserve">• </w:t>
      </w:r>
      <w:r>
        <w:rPr>
          <w:b/>
        </w:rPr>
        <w:t>全词表：</w:t>
      </w:r>
      <w:r>
        <w:t xml:space="preserve"> 使用教师完整词表分布进行比较，作为信息完整的参照。</w:t>
      </w:r>
    </w:p>
    <w:p>
      <w:pPr>
        <w:pStyle w:val="a8"/>
        <w:jc w:val="left"/>
        <w:ind w:firstLine="420"/>
      </w:pPr>
      <w:r>
        <w:t xml:space="preserve">• </w:t>
      </w:r>
      <w:r>
        <w:rPr>
          <w:b/>
        </w:rPr>
        <w:t>Top-K：</w:t>
      </w:r>
      <w:r>
        <w:t xml:space="preserve"> 使用指定支持集中的教师高概率 token，考察压缩教师反馈后的效果与资源变化。</w:t>
      </w:r>
    </w:p>
    <w:p>
      <w:pPr>
        <w:pStyle w:val="a8"/>
        <w:jc w:val="left"/>
        <w:ind w:firstLine="420"/>
      </w:pPr>
      <w:r>
        <w:t>• K1 sampled-token：从教师分布采样一个 token，对相应期望进行单样本估计，并分析其估计方差；该方法与 Top-1 argmax 硬标签监督分别记录。</w:t>
      </w:r>
    </w:p>
    <w:p>
      <w:pPr>
        <w:pStyle w:val="a"/>
        <w:jc w:val="both"/>
        <w:ind w:firstLine="420"/>
      </w:pPr>
      <w:r>
        <w:t>Top-K 统一规定支持集构造、归一化和支持集外概率处理，K1 统一规定 proposal、梯度估计和随机种子管理。比较内容包括 Function Calling 的格式、函数选择、参数与执行结果，以及训练稳定性和资源开销。</w:t>
      </w:r>
    </w:p>
    <w:p>
      <w:pPr>
        <w:pStyle w:val="2"/>
      </w:pPr>
      <w:r>
        <w:rPr>
          <w:rFonts w:ascii="SimHei" w:hAnsi="SimHei" w:eastAsia="黑体" w:cs="SimHei"/>
          <w:b/>
          <w:color w:val="000000"/>
          <w:sz w:val="24"/>
        </w:rPr>
        <w:t>3.4 LoRA 后训练与教师—学生关系</w:t>
      </w:r>
    </w:p>
    <w:p>
      <w:pPr>
        <w:pStyle w:val="a"/>
        <w:jc w:val="both"/>
        <w:ind w:firstLine="420"/>
      </w:pPr>
      <w:r>
        <w:t>LoRA 将基座权重写为低秩增量形式[19]：</w:t>
      </w:r>
    </w:p>
    <w:p>
      <w:pPr>
        <w:pStyle w:val="a"/>
        <w:jc w:val="center"/>
        <w:ind w:firstLine="0"/>
      </w:pPr>
      <m:oMath xmlns:mml="http://www.w3.org/1998/Math/MathML">
        <m:r>
          <m:t>W=</m:t>
        </m:r>
        <m:sSub>
          <m:e>
            <m:r>
              <m:t>W</m:t>
            </m:r>
          </m:e>
          <m:sub>
            <m:r>
              <m:t>0</m:t>
            </m:r>
          </m:sub>
        </m:sSub>
        <m:r>
          <m:t>+</m:t>
        </m:r>
        <m:r>
          <m:rPr>
            <m:sty m:val="p"/>
          </m:rPr>
          <m:t>ΔW</m:t>
        </m:r>
        <m:r>
          <m:t>=</m:t>
        </m:r>
        <m:sSub>
          <m:e>
            <m:r>
              <m:t>W</m:t>
            </m:r>
          </m:e>
          <m:sub>
            <m:r>
              <m:t>0</m:t>
            </m:r>
          </m:sub>
        </m:sSub>
        <m:r>
          <m:t>+</m:t>
        </m:r>
        <m:f>
          <m:fPr>
            <m:type m:val="bar"/>
          </m:fPr>
          <m:num>
            <m:r>
              <m:t>α</m:t>
            </m:r>
          </m:num>
          <m:den>
            <m:r>
              <m:t>r</m:t>
            </m:r>
          </m:den>
        </m:f>
        <m:r>
          <m:rPr>
            <m:sty m:val="p"/>
          </m:rPr>
          <m:t>BA</m:t>
        </m:r>
      </m:oMath>
    </w:p>
    <w:p>
      <w:pPr>
        <w:pStyle w:val="a"/>
        <w:jc w:val="both"/>
        <w:ind w:firstLine="420"/>
      </w:pPr>
      <w:r>
        <w:t>本课题采用 LoRA 进行学生模型后训练。各对照组使用统一的插入位置、秩、缩放系数、学习率、序列长度和可训练参数范围。训练前检查 Qwen3-0.6B 学生与 Qwen3-4B 教师的 tokenizer、特殊 token 和 Function Calling 模板，建立一致的编码、对齐和输出解析流程。</w:t>
      </w:r>
    </w:p>
    <w:p>
      <w:pPr>
        <w:pStyle w:val="a"/>
        <w:jc w:val="both"/>
        <w:ind w:firstLine="420"/>
      </w:pPr>
      <w:r>
        <w:t>LoRA 用于控制可训练参数规模，使多个蒸馏方案从相同的学生基座出发。实验分别记录 LoRA adapter 的保存、加载与合并方式，以及部署后端中的加载配置，从而区分训练参数变化和服务加载方式带来的影响。</w:t>
      </w:r>
    </w:p>
    <w:p>
      <w:pPr>
        <w:pStyle w:val="2"/>
      </w:pPr>
      <w:r>
        <w:rPr>
          <w:rFonts w:ascii="SimHei" w:hAnsi="SimHei" w:eastAsia="黑体" w:cs="SimHei"/>
          <w:b/>
          <w:color w:val="000000"/>
          <w:sz w:val="24"/>
        </w:rPr>
        <w:t>3.5 Function Calling 评测与推理性能分析</w:t>
      </w:r>
    </w:p>
    <w:p>
      <w:pPr>
        <w:pStyle w:val="a"/>
        <w:jc w:val="both"/>
        <w:ind w:firstLine="420"/>
      </w:pPr>
      <w:r>
        <w:t>离线评测分层记录格式解析、函数名、参数键值、schema 合法性、单步调用执行和端到端任务完成情况，并对等价参数表达进行规范化。代表性 checkpoint 将通过 vLLM 或自建测试程序加载，在统一输入、函数 schema、采样设置和评测规则下测量任务指标、推理吞吐、首 token 延迟、完整响应延迟和显存占用。vLLM 的 PagedAttention 工作为推理性能分析提供了技术背景[20]。</w:t>
      </w:r>
    </w:p>
    <w:p>
      <w:pPr>
        <w:pStyle w:val="2"/>
      </w:pPr>
      <w:r>
        <w:rPr>
          <w:rFonts w:ascii="SimHei" w:hAnsi="SimHei" w:eastAsia="黑体" w:cs="SimHei"/>
          <w:b/>
          <w:color w:val="000000"/>
          <w:sz w:val="24"/>
        </w:rPr>
        <w:t>3.6 研究问题</w:t>
      </w:r>
    </w:p>
    <w:p>
      <w:pPr>
        <w:pStyle w:val="a"/>
        <w:jc w:val="both"/>
        <w:ind w:firstLine="420"/>
      </w:pPr>
      <w:r>
        <w:t>本课题将回答以下问题：</w:t>
      </w:r>
    </w:p>
    <w:p>
      <w:pPr>
        <w:pStyle w:val="a8"/>
        <w:jc w:val="left"/>
        <w:ind w:firstLine="420"/>
      </w:pPr>
      <w:r>
        <w:t>1. 在 Qwen3 Function Calling 条件下，三类散度是否表现出可解释的工具选择、参数生成或格式差异？</w:t>
      </w:r>
    </w:p>
    <w:p>
      <w:pPr>
        <w:pStyle w:val="a8"/>
        <w:jc w:val="left"/>
        <w:ind w:firstLine="420"/>
      </w:pPr>
      <w:r>
        <w:t>2. 全词表、Top-K 和 K1 在效果、稳定性和教师反馈开销之间如何权衡？</w:t>
      </w:r>
    </w:p>
    <w:p>
      <w:pPr>
        <w:pStyle w:val="a8"/>
        <w:jc w:val="left"/>
        <w:ind w:firstLine="420"/>
      </w:pPr>
      <w:r>
        <w:t>3. 支持集外 token、前缀偏移、熵变化和格式错误能否解释 Top-K/K1 的失败模式？</w:t>
      </w:r>
    </w:p>
    <w:p>
      <w:pPr>
        <w:pStyle w:val="a8"/>
        <w:jc w:val="left"/>
        <w:ind w:firstLine="420"/>
      </w:pPr>
      <w:r>
        <w:t>4. 不同蒸馏目标在任务正确率、训练效率和推理性能上的变化是否一致？</w:t>
      </w:r>
    </w:p>
    <w:p>
      <w:pPr>
        <w:pStyle w:val="a"/>
        <w:jc w:val="both"/>
        <w:ind w:firstLine="420"/>
      </w:pPr>
      <w:r>
        <w:t>上述研究问题构成实验设计、结果分析和论文讨论的主线。</w:t>
      </w:r>
    </w:p>
    <w:p>
      <w:pPr>
        <w:pStyle w:val="2"/>
      </w:pPr>
      <w:r>
        <w:rPr>
          <w:rFonts w:ascii="SimHei" w:hAnsi="SimHei" w:eastAsia="黑体" w:cs="SimHei"/>
          <w:b/>
          <w:color w:val="000000"/>
          <w:sz w:val="24"/>
        </w:rPr>
        <w:t>3.7 各研究内容之间的关系</w:t>
      </w:r>
    </w:p>
    <w:p>
      <w:pPr>
        <w:pStyle w:val="a"/>
        <w:jc w:val="both"/>
        <w:ind w:firstLine="420"/>
      </w:pPr>
      <w:r>
        <w:t>三类研究内容具有递进关系。首先，数据和模板确定学生生成轨迹的任务接口；其次，学生轨迹和教师前缀反馈确定 OPD 的状态分布；再次，散度方向和监督信息粒度决定教师信息如何转化为学生更新；最后，任务指标、训练资源和推理性能用于评价不同方法。结果分析将结合中间分布、训练稳定性、资源消耗和最终调用成功率解释各方法的表现。</w:t>
      </w:r>
    </w:p>
    <w:p>
      <w:pPr>
        <w:pStyle w:val="a"/>
        <w:jc w:val="both"/>
        <w:ind w:firstLine="420"/>
      </w:pPr>
      <w:r>
        <w:t>本课题从训练和推理两个阶段开展性能分析。训练阶段记录学生 rollout、教师前向、LoRA 更新的耗时、吞吐、显存和数值稳定性；推理阶段在 vLLM 或自建测试程序中固定输入、函数 schema、采样参数和数值精度，测量任务正确率、吞吐和延迟。</w:t>
      </w:r>
    </w:p>
    <w:p>
      <w:pPr>
        <w:pStyle w:val="1"/>
      </w:pPr>
      <w:r>
        <w:rPr>
          <w:rFonts w:ascii="SimHei" w:hAnsi="SimHei" w:eastAsia="黑体" w:cs="SimHei"/>
          <w:b/>
          <w:color w:val="000000"/>
          <w:sz w:val="28"/>
        </w:rPr>
        <w:t>4．研究方案</w:t>
      </w:r>
    </w:p>
    <w:p>
      <w:pPr>
        <w:pStyle w:val="2"/>
      </w:pPr>
      <w:r>
        <w:rPr>
          <w:rFonts w:ascii="SimHei" w:hAnsi="SimHei" w:eastAsia="黑体" w:cs="SimHei"/>
          <w:b/>
          <w:color w:val="000000"/>
          <w:sz w:val="24"/>
        </w:rPr>
        <w:t>4.1 总体技术路线</w:t>
      </w:r>
    </w:p>
    <w:p>
      <w:pPr>
        <w:jc w:val="both"/>
        <w:spacing w:line="360" w:lineRule="auto" w:before="0" w:after="0"/>
        <w:ind w:firstLine="420"/>
      </w:pPr>
      <w:r>
        <w:rPr>
          <w:rFonts w:ascii="Times New Roman" w:hAnsi="Times New Roman" w:eastAsia="宋体"/>
          <w:sz w:val="24"/>
        </w:rPr>
        <w:t>研究总体技术路线如图 1 所示。</w:t>
      </w:r>
    </w:p>
    <w:p>
      <w:pPr>
        <w:pStyle w:val="a"/>
        <w:jc w:val="both"/>
        <w:ind w:firstLine="420"/>
      </w:pPr>
      <w:r>
        <w:t>总体路线由模型与数据准备、SFT 基线、在线策略蒸馏、统一评测和结果分析组成。实验配置记录模型版本、数据版本、损失定义、支持集协议、训练参数和评测脚本。</w:t>
      </w:r>
    </w:p>
    <w:p>
      <w:pPr>
        <w:pStyle w:val="a"/>
        <w:jc w:val="both"/>
        <w:ind w:firstLine="420"/>
      </w:pPr>
      <w:r>
        <w:t>每项实验关联四类信息：研究定义，包括散度、粒度、支持集和 Mask；数据定义，包括来源、版本、划分和过滤；模型定义，包括学生、教师、LoRA 和模板；运行定义，包括随机种子、资源、依赖和命令。上述信息共同构成实验结果的复现与解释依据。</w:t>
      </w:r>
    </w:p>
    <w:p>
      <w:pPr>
        <w:ind w:firstLine="0"/>
        <w:jc w:val="center"/>
      </w:pPr>
      <w:r>
        <w:drawing>
          <wp:inline xmlns:a="http://schemas.openxmlformats.org/drawingml/2006/main" xmlns:pic="http://schemas.openxmlformats.org/drawingml/2006/picture">
            <wp:extent cx="5806440" cy="2177415"/>
            <wp:docPr id="6" name="Picture 6"/>
            <wp:cNvGraphicFramePr>
              <a:graphicFrameLocks noChangeAspect="1"/>
            </wp:cNvGraphicFramePr>
            <a:graphic>
              <a:graphicData uri="http://schemas.openxmlformats.org/drawingml/2006/picture">
                <pic:pic>
                  <pic:nvPicPr>
                    <pic:cNvPr id="0" name="opening_report_overall_flow_fixed.png"/>
                    <pic:cNvPicPr/>
                  </pic:nvPicPr>
                  <pic:blipFill>
                    <a:blip r:embed="rId18"/>
                    <a:stretch>
                      <a:fillRect/>
                    </a:stretch>
                  </pic:blipFill>
                  <pic:spPr>
                    <a:xfrm>
                      <a:off x="0" y="0"/>
                      <a:ext cx="5806440" cy="2177415"/>
                    </a:xfrm>
                    <a:prstGeom prst="rect"/>
                  </pic:spPr>
                </pic:pic>
              </a:graphicData>
            </a:graphic>
          </wp:inline>
        </w:drawing>
      </w:r>
    </w:p>
    <w:p>
      <w:pPr>
        <w:spacing w:before="0" w:after="120" w:line="240" w:lineRule="auto"/>
        <w:ind w:firstLine="0"/>
        <w:jc w:val="center"/>
      </w:pPr>
      <w:r/>
      <w:r>
        <w:rPr>
          <w:rFonts w:ascii="Times New Roman" w:hAnsi="Times New Roman" w:eastAsia="宋体"/>
          <w:sz w:val="21"/>
        </w:rPr>
        <w:t>图 1  研究总体技术路线</w:t>
      </w:r>
    </w:p>
    <w:p>
      <w:pPr>
        <w:pStyle w:val="2"/>
      </w:pPr>
      <w:r>
        <w:rPr>
          <w:rFonts w:ascii="SimHei" w:hAnsi="SimHei" w:eastAsia="黑体" w:cs="SimHei"/>
          <w:b/>
          <w:color w:val="000000"/>
          <w:sz w:val="24"/>
        </w:rPr>
        <w:t>4.2 模型和数据准备</w:t>
      </w:r>
    </w:p>
    <w:p>
      <w:pPr>
        <w:pStyle w:val="a"/>
        <w:jc w:val="both"/>
        <w:ind w:firstLine="420"/>
      </w:pPr>
      <w:r>
        <w:t>模型方面，采用 Qwen3-0.6B 作为学生、Qwen3-4B 作为教师，教师参数冻结，学生通过 LoRA 更新。训练前检查师生 tokenizer 的词表、特殊 token、消息模板和函数调用格式，并通过回环测试验证编码、解码与 token 对齐。Qwen3 技术报告用于说明模型家族背景[16]。</w:t>
      </w:r>
    </w:p>
    <w:p>
      <w:pPr>
        <w:pStyle w:val="a"/>
        <w:jc w:val="both"/>
        <w:ind w:firstLine="420"/>
      </w:pPr>
      <w:r>
        <w:t>数据方面，核验公开 Function Calling 数据的来源、许可证、字段含义和版本，并将实际字段转换为统一的用户消息、工具 schema、调用响应和工具结果表示。训练、验证和测试数据按照来源与模板隔离，记录划分比例、子集范围和去重规则。APIGen、ToolACE、API-Bank 和 ToolBench 为数据选择与构造提供参考[23][24][25][26]。</w:t>
      </w:r>
    </w:p>
    <w:p>
      <w:pPr>
        <w:pStyle w:val="a"/>
        <w:jc w:val="both"/>
        <w:ind w:firstLine="420"/>
      </w:pPr>
      <w:r>
        <w:t>数据审计重点处理三类异常：schema 语法错误、参数标签与用户意图不一致、工具返回缺失或格式不统一。评测器保存原始样本、规范化样本和失败原因，并对自动规则进行抽样复核。</w:t>
      </w:r>
    </w:p>
    <w:p>
      <w:pPr>
        <w:pStyle w:val="2"/>
      </w:pPr>
      <w:r>
        <w:rPr>
          <w:rFonts w:ascii="SimHei" w:hAnsi="SimHei" w:eastAsia="黑体" w:cs="SimHei"/>
          <w:b/>
          <w:color w:val="000000"/>
          <w:sz w:val="24"/>
        </w:rPr>
        <w:t>4.3 学生 rollout 和教师反馈</w:t>
      </w:r>
    </w:p>
    <w:p>
      <w:pPr>
        <w:spacing w:line="360" w:lineRule="auto" w:before="0" w:after="0"/>
        <w:ind w:firstLine="420"/>
        <w:jc w:val="both"/>
      </w:pPr>
      <w:r>
        <w:rPr>
          <w:rFonts w:ascii="Times New Roman" w:hAnsi="Times New Roman" w:eastAsia="宋体"/>
          <w:sz w:val="24"/>
        </w:rPr>
        <w:t>在线策略蒸馏的训练、反馈与评测关系如图 2 所示。</w:t>
      </w:r>
    </w:p>
    <w:p>
      <w:pPr>
        <w:pStyle w:val="a"/>
        <w:jc w:val="both"/>
        <w:ind w:firstLine="420"/>
      </w:pPr>
      <w:r>
        <w:t>学生 rollout 的温度、停止条件、最大生成长度、非法格式处理和重试规则均作为控制变量写入配置，所有比较组使用相同的采样与后处理协议。</w:t>
      </w:r>
    </w:p>
    <w:p>
      <w:pPr>
        <w:pStyle w:val="a"/>
        <w:jc w:val="both"/>
        <w:ind w:firstLine="420"/>
      </w:pPr>
      <w:r>
        <w:t>教师在学生访问到的前缀上提供分布或局部 token 信息，学生依据相同前缀计算可训练的蒸馏目标，教师参数保持冻结。全词表、Top-K 和 K1 只改变教师信息的保留或估计方式，数据划分、rollout 条件和总训练预算保持一致。</w:t>
      </w:r>
    </w:p>
    <w:tbl>
      <w:tblPr>
        <w:tblStyle w:val="a9"/>
        <w:tblW w:w="0" w:type="auto"/>
        <w:tblLook w:val="04A0" w:firstRow="1" w:lastRow="0" w:firstColumn="1" w:lastColumn="0" w:noHBand="0" w:noVBand="1"/>
      </w:tblPr>
      <w:tblGrid>
        <w:gridCol w:w="2765"/>
        <w:gridCol w:w="2765"/>
        <w:gridCol w:w="2765"/>
      </w:tblGrid>
      <w:tr>
        <w:trPr>
          <w:tblHeader/>
        </w:trPr>
        <w:tc>
          <w:tcPr>
            <w:tcW w:w="4148" w:type="dxa"/>
          </w:tcPr>
          <w:p>
            <w:pPr>
              <w:pStyle w:val="a"/>
              <w:jc w:val="left"/>
              <w:ind w:firstLine="0"/>
            </w:pPr>
            <w:r>
              <w:rPr>
                <w:b/>
              </w:rPr>
              <w:t>环节</w:t>
            </w:r>
          </w:p>
        </w:tc>
        <w:tc>
          <w:tcPr>
            <w:tcW w:w="4148" w:type="dxa"/>
          </w:tcPr>
          <w:p>
            <w:pPr>
              <w:pStyle w:val="a"/>
              <w:jc w:val="left"/>
              <w:ind w:firstLine="0"/>
            </w:pPr>
            <w:r>
              <w:rPr>
                <w:b/>
              </w:rPr>
              <w:t>需要统一的对象</w:t>
            </w:r>
          </w:p>
        </w:tc>
        <w:tc>
          <w:tcPr>
            <w:tcW w:w="4148" w:type="dxa"/>
          </w:tcPr>
          <w:p>
            <w:pPr>
              <w:pStyle w:val="a"/>
              <w:jc w:val="left"/>
              <w:ind w:firstLine="0"/>
            </w:pPr>
            <w:r>
              <w:rPr>
                <w:b/>
              </w:rPr>
              <w:t>需要单独记录的内容</w:t>
            </w:r>
          </w:p>
        </w:tc>
      </w:tr>
      <w:tr>
        <w:tc>
          <w:tcPr>
            <w:tcW w:w="4148" w:type="dxa"/>
          </w:tcPr>
          <w:p>
            <w:pPr>
              <w:pStyle w:val="a"/>
              <w:jc w:val="left"/>
              <w:ind w:firstLine="0"/>
            </w:pPr>
            <w:r>
              <w:t>学生生成</w:t>
            </w:r>
          </w:p>
        </w:tc>
        <w:tc>
          <w:tcPr>
            <w:tcW w:w="4148" w:type="dxa"/>
          </w:tcPr>
          <w:p>
            <w:pPr>
              <w:pStyle w:val="a"/>
              <w:jc w:val="left"/>
              <w:ind w:firstLine="0"/>
            </w:pPr>
            <w:r>
              <w:t>输入消息、工具 schema、停止条件和采样规则</w:t>
            </w:r>
          </w:p>
        </w:tc>
        <w:tc>
          <w:tcPr>
            <w:tcW w:w="4148" w:type="dxa"/>
          </w:tcPr>
          <w:p>
            <w:pPr>
              <w:pStyle w:val="a"/>
              <w:jc w:val="left"/>
              <w:ind w:firstLine="0"/>
            </w:pPr>
            <w:r>
              <w:t>生成长度、结束原因、格式解析状态</w:t>
            </w:r>
          </w:p>
        </w:tc>
      </w:tr>
      <w:tr>
        <w:tc>
          <w:tcPr>
            <w:tcW w:w="4148" w:type="dxa"/>
          </w:tcPr>
          <w:p>
            <w:pPr>
              <w:pStyle w:val="a"/>
              <w:jc w:val="left"/>
              <w:ind w:firstLine="0"/>
            </w:pPr>
            <w:r>
              <w:t>教师反馈</w:t>
            </w:r>
          </w:p>
        </w:tc>
        <w:tc>
          <w:tcPr>
            <w:tcW w:w="4148" w:type="dxa"/>
          </w:tcPr>
          <w:p>
            <w:pPr>
              <w:pStyle w:val="a"/>
              <w:jc w:val="left"/>
              <w:ind w:firstLine="0"/>
            </w:pPr>
            <w:r>
              <w:t>学生前缀、教师模型和 token 对齐</w:t>
            </w:r>
          </w:p>
        </w:tc>
        <w:tc>
          <w:tcPr>
            <w:tcW w:w="4148" w:type="dxa"/>
          </w:tcPr>
          <w:p>
            <w:pPr>
              <w:pStyle w:val="a"/>
              <w:jc w:val="left"/>
              <w:ind w:firstLine="0"/>
            </w:pPr>
            <w:r>
              <w:t>反馈粒度、支持集、教师计算量</w:t>
            </w:r>
          </w:p>
        </w:tc>
      </w:tr>
      <w:tr>
        <w:tc>
          <w:tcPr>
            <w:tcW w:w="4148" w:type="dxa"/>
          </w:tcPr>
          <w:p>
            <w:pPr>
              <w:pStyle w:val="a"/>
              <w:jc w:val="left"/>
              <w:ind w:firstLine="0"/>
            </w:pPr>
            <w:r>
              <w:t>学生更新</w:t>
            </w:r>
          </w:p>
        </w:tc>
        <w:tc>
          <w:tcPr>
            <w:tcW w:w="4148" w:type="dxa"/>
          </w:tcPr>
          <w:p>
            <w:pPr>
              <w:pStyle w:val="a"/>
              <w:jc w:val="left"/>
              <w:ind w:firstLine="0"/>
            </w:pPr>
            <w:r>
              <w:t>学生 logits、LoRA 参数和 mask</w:t>
            </w:r>
          </w:p>
        </w:tc>
        <w:tc>
          <w:tcPr>
            <w:tcW w:w="4148" w:type="dxa"/>
          </w:tcPr>
          <w:p>
            <w:pPr>
              <w:pStyle w:val="a"/>
              <w:jc w:val="left"/>
              <w:ind w:firstLine="0"/>
            </w:pPr>
            <w:r>
              <w:t>散度、梯度处理、异常 loss</w:t>
            </w:r>
          </w:p>
        </w:tc>
      </w:tr>
      <w:tr>
        <w:tc>
          <w:tcPr>
            <w:tcW w:w="4148" w:type="dxa"/>
          </w:tcPr>
          <w:p>
            <w:pPr>
              <w:pStyle w:val="a"/>
              <w:jc w:val="left"/>
              <w:ind w:firstLine="0"/>
            </w:pPr>
            <w:r>
              <w:t>最终评测</w:t>
            </w:r>
          </w:p>
        </w:tc>
        <w:tc>
          <w:tcPr>
            <w:tcW w:w="4148" w:type="dxa"/>
          </w:tcPr>
          <w:p>
            <w:pPr>
              <w:pStyle w:val="a"/>
              <w:jc w:val="left"/>
              <w:ind w:firstLine="0"/>
            </w:pPr>
            <w:r>
              <w:t>输入、工具和解析规则</w:t>
            </w:r>
          </w:p>
        </w:tc>
        <w:tc>
          <w:tcPr>
            <w:tcW w:w="4148" w:type="dxa"/>
          </w:tcPr>
          <w:p>
            <w:pPr>
              <w:pStyle w:val="a"/>
              <w:jc w:val="left"/>
              <w:ind w:firstLine="0"/>
            </w:pPr>
            <w:r>
              <w:t>函数、参数、执行和端到端调用结果</w:t>
            </w:r>
          </w:p>
        </w:tc>
      </w:tr>
    </w:tbl>
    <w:p>
      <w:pPr>
        <w:pStyle w:val="a"/>
        <w:jc w:val="both"/>
        <w:ind w:firstLine="420"/>
      </w:pPr>
      <w:r>
        <w:t>所有方法共享数据读取、学生 rollout、教师评分和指标记录接口，保证不同对照组只改变目标函数或监督信息粒度。</w:t>
      </w:r>
    </w:p>
    <w:p>
      <w:pPr>
        <w:ind w:firstLine="0"/>
        <w:jc w:val="center"/>
      </w:pPr>
      <w:r>
        <w:drawing>
          <wp:inline xmlns:a="http://schemas.openxmlformats.org/drawingml/2006/main" xmlns:pic="http://schemas.openxmlformats.org/drawingml/2006/picture">
            <wp:extent cx="5669280" cy="2881884"/>
            <wp:docPr id="4" name="Picture 4"/>
            <wp:cNvGraphicFramePr>
              <a:graphicFrameLocks noChangeAspect="1"/>
            </wp:cNvGraphicFramePr>
            <a:graphic>
              <a:graphicData uri="http://schemas.openxmlformats.org/drawingml/2006/picture">
                <pic:pic>
                  <pic:nvPicPr>
                    <pic:cNvPr id="0" name="training_flow.png"/>
                    <pic:cNvPicPr/>
                  </pic:nvPicPr>
                  <pic:blipFill>
                    <a:blip r:embed="rId16"/>
                    <a:stretch>
                      <a:fillRect/>
                    </a:stretch>
                  </pic:blipFill>
                  <pic:spPr>
                    <a:xfrm>
                      <a:off x="0" y="0"/>
                      <a:ext cx="5669280" cy="2881884"/>
                    </a:xfrm>
                    <a:prstGeom prst="rect"/>
                  </pic:spPr>
                </pic:pic>
              </a:graphicData>
            </a:graphic>
          </wp:inline>
        </w:drawing>
      </w:r>
    </w:p>
    <w:p>
      <w:pPr>
        <w:spacing w:before="0" w:after="120" w:line="240" w:lineRule="auto"/>
        <w:ind w:firstLine="0"/>
        <w:jc w:val="center"/>
      </w:pPr>
      <w:r/>
      <w:r>
        <w:rPr>
          <w:rFonts w:ascii="Times New Roman" w:hAnsi="Times New Roman" w:eastAsia="宋体"/>
          <w:sz w:val="21"/>
        </w:rPr>
        <w:t>图 2  在线策略蒸馏训练与性能评测流程</w:t>
      </w:r>
    </w:p>
    <w:p>
      <w:pPr>
        <w:pStyle w:val="2"/>
      </w:pPr>
      <w:r>
        <w:rPr>
          <w:rFonts w:ascii="SimHei" w:hAnsi="SimHei" w:eastAsia="黑体" w:cs="SimHei"/>
          <w:b/>
          <w:color w:val="000000"/>
          <w:sz w:val="24"/>
        </w:rPr>
        <w:t>4.4 损失与监督信息粒度/估计方式的定义原则</w:t>
      </w:r>
    </w:p>
    <w:p>
      <w:pPr>
        <w:pStyle w:val="a"/>
        <w:jc w:val="both"/>
        <w:ind w:firstLine="420"/>
      </w:pPr>
      <w:r>
        <w:t>在全词表和 Top-K 的分布形式下，令 p_T 和 p_S 分别表示教师与学生在有效位置的概率分布，通用 token 级目标可以写为：</w:t>
      </w:r>
    </w:p>
    <w:p>
      <w:pPr>
        <w:pStyle w:val="a"/>
        <w:jc w:val="center"/>
        <w:ind w:firstLine="0"/>
      </w:pPr>
      <m:oMath xmlns:mml="http://www.w3.org/1998/Math/MathML">
        <m:sSub>
          <m:e>
            <m:r>
              <m:t>ℒ</m:t>
            </m:r>
          </m:e>
          <m:sub>
            <m:r>
              <m:rPr>
                <m:sty m:val="p"/>
              </m:rPr>
              <m:t>distill</m:t>
            </m:r>
          </m:sub>
        </m:sSub>
        <m:r>
          <m:t>=</m:t>
        </m:r>
        <m:f>
          <m:fPr>
            <m:type m:val="bar"/>
          </m:fPr>
          <m:num>
            <m:nary>
              <m:naryPr>
                <m:chr m:val="∑"/>
                <m:limLoc m:val="subSup"/>
                <m:grow m:val="1"/>
                <m:subHide m:val="off"/>
                <m:supHide m:val="on"/>
              </m:naryPr>
              <m:sub>
                <m:r>
                  <m:t>b,t</m:t>
                </m:r>
              </m:sub>
              <m:sup/>
              <m:e/>
            </m:nary>
            <m:sSub>
              <m:e>
                <m:r>
                  <m:t>m</m:t>
                </m:r>
              </m:e>
              <m:sub>
                <m:r>
                  <m:t>b,t</m:t>
                </m:r>
              </m:sub>
            </m:sSub>
            <m:r>
              <m:t>D</m:t>
            </m:r>
            <m:d>
              <m:dPr>
                <m:sepChr m:val=","/>
              </m:dPr>
              <m:e>
                <m:sSub>
                  <m:e>
                    <m:r>
                      <m:t>p</m:t>
                    </m:r>
                  </m:e>
                  <m:sub>
                    <m:r>
                      <m:t>T</m:t>
                    </m:r>
                  </m:sub>
                </m:sSub>
                <m:d>
                  <m:dPr>
                    <m:sepChr m:val=","/>
                  </m:dPr>
                  <m:e>
                    <m:r>
                      <m:t>·∣</m:t>
                    </m:r>
                    <m:sSub>
                      <m:e>
                        <m:r>
                          <m:t>x</m:t>
                        </m:r>
                      </m:e>
                      <m:sub>
                        <m:r>
                          <m:t>b</m:t>
                        </m:r>
                      </m:sub>
                    </m:sSub>
                    <m:r>
                      <m:t>,</m:t>
                    </m:r>
                    <m:sSub>
                      <m:e>
                        <m:r>
                          <m:t>y</m:t>
                        </m:r>
                      </m:e>
                      <m:sub>
                        <m:r>
                          <m:t>b,&lt;t</m:t>
                        </m:r>
                      </m:sub>
                    </m:sSub>
                  </m:e>
                </m:d>
                <m:r>
                  <m:t>∥</m:t>
                </m:r>
                <m:sSub>
                  <m:e>
                    <m:r>
                      <m:t>p</m:t>
                    </m:r>
                  </m:e>
                  <m:sub>
                    <m:r>
                      <m:t>S</m:t>
                    </m:r>
                  </m:sub>
                </m:sSub>
                <m:d>
                  <m:dPr>
                    <m:sepChr m:val=","/>
                  </m:dPr>
                  <m:e>
                    <m:r>
                      <m:t>·∣</m:t>
                    </m:r>
                    <m:sSub>
                      <m:e>
                        <m:r>
                          <m:t>x</m:t>
                        </m:r>
                      </m:e>
                      <m:sub>
                        <m:r>
                          <m:t>b</m:t>
                        </m:r>
                      </m:sub>
                    </m:sSub>
                    <m:r>
                      <m:t>,</m:t>
                    </m:r>
                    <m:sSub>
                      <m:e>
                        <m:r>
                          <m:t>y</m:t>
                        </m:r>
                      </m:e>
                      <m:sub>
                        <m:r>
                          <m:t>b,&lt;t</m:t>
                        </m:r>
                      </m:sub>
                    </m:sSub>
                  </m:e>
                </m:d>
              </m:e>
            </m:d>
          </m:num>
          <m:den>
            <m:nary>
              <m:naryPr>
                <m:chr m:val="∑"/>
                <m:limLoc m:val="subSup"/>
                <m:grow m:val="1"/>
                <m:subHide m:val="off"/>
                <m:supHide m:val="on"/>
              </m:naryPr>
              <m:sub>
                <m:r>
                  <m:t>b,t</m:t>
                </m:r>
              </m:sub>
              <m:sup/>
              <m:e/>
            </m:nary>
            <m:sSub>
              <m:e>
                <m:r>
                  <m:t>m</m:t>
                </m:r>
              </m:e>
              <m:sub>
                <m:r>
                  <m:t>b,t</m:t>
                </m:r>
              </m:sub>
            </m:sSub>
            <m:r>
              <m:t>+ε</m:t>
            </m:r>
          </m:den>
        </m:f>
      </m:oMath>
    </w:p>
    <w:p>
      <w:pPr>
        <w:pStyle w:val="a"/>
        <w:jc w:val="both"/>
        <w:ind w:firstLine="420"/>
      </w:pPr>
      <w:r>
        <w:t>其中，m 表示由消息、工具边界和响应位置共同确定的有效 token 掩码。概率计算采用 log-sum-exp、概率下界和混合精度控制避免数值溢出。K1 sampled-token 使用单独定义的采样估计器，并记录随机种子与估计方差。</w:t>
      </w:r>
    </w:p>
    <w:p>
      <w:pPr>
        <w:pStyle w:val="a"/>
        <w:jc w:val="both"/>
        <w:ind w:firstLine="420"/>
      </w:pPr>
      <w:r>
        <w:t>监督信息粒度与散度目标的比较矩阵如下：</w:t>
      </w:r>
    </w:p>
    <w:tbl>
      <w:tblPr>
        <w:tblStyle w:val="a9"/>
        <w:tblW w:w="0" w:type="auto"/>
        <w:jc w:val="center"/>
        <w:tblLook w:val="04A0" w:firstRow="1" w:lastRow="0" w:firstColumn="1" w:lastColumn="0" w:noHBand="0" w:noVBand="1"/>
      </w:tblPr>
      <w:tblGrid>
        <w:gridCol w:w="1659"/>
        <w:gridCol w:w="1659"/>
        <w:gridCol w:w="1659"/>
        <w:gridCol w:w="1659"/>
        <w:gridCol w:w="1659"/>
      </w:tblGrid>
      <w:tr>
        <w:trPr>
          <w:tblHeader/>
        </w:trPr>
        <w:tc>
          <w:tcPr>
            <w:tcW w:w="4148" w:type="dxa"/>
            <w:vAlign w:val="center"/>
          </w:tcPr>
          <w:p>
            <w:pPr>
              <w:spacing w:before="0" w:after="0" w:line="240" w:lineRule="auto"/>
              <w:ind w:firstLine="0"/>
              <w:jc w:val="center"/>
            </w:pPr>
            <w:r>
              <w:rPr>
                <w:rFonts w:ascii="Times New Roman" w:hAnsi="Times New Roman" w:eastAsia="宋体"/>
                <w:b/>
                <w:sz w:val="19"/>
              </w:rPr>
              <w:t>监督信息粒度/估计方式</w:t>
            </w:r>
          </w:p>
        </w:tc>
        <w:tc>
          <w:tcPr>
            <w:tcW w:w="4148" w:type="dxa"/>
            <w:vAlign w:val="center"/>
          </w:tcPr>
          <w:p>
            <w:pPr>
              <w:spacing w:before="0" w:after="0" w:line="240" w:lineRule="auto"/>
              <w:ind w:firstLine="0"/>
              <w:jc w:val="center"/>
            </w:pPr>
            <w:r>
              <w:rPr>
                <w:rFonts w:ascii="Times New Roman" w:hAnsi="Times New Roman" w:eastAsia="宋体"/>
                <w:b/>
                <w:sz w:val="19"/>
              </w:rPr>
              <w:t>Forward KL</w:t>
            </w:r>
          </w:p>
        </w:tc>
        <w:tc>
          <w:tcPr>
            <w:tcW w:w="4148" w:type="dxa"/>
            <w:vAlign w:val="center"/>
          </w:tcPr>
          <w:p>
            <w:pPr>
              <w:spacing w:before="0" w:after="0" w:line="240" w:lineRule="auto"/>
              <w:ind w:firstLine="0"/>
              <w:jc w:val="center"/>
            </w:pPr>
            <w:r>
              <w:rPr>
                <w:rFonts w:ascii="Times New Roman" w:hAnsi="Times New Roman" w:eastAsia="宋体"/>
                <w:b/>
                <w:sz w:val="19"/>
              </w:rPr>
              <w:t>Reverse KL</w:t>
            </w:r>
          </w:p>
        </w:tc>
        <w:tc>
          <w:tcPr>
            <w:tcW w:w="4148" w:type="dxa"/>
            <w:vAlign w:val="center"/>
          </w:tcPr>
          <w:p>
            <w:pPr>
              <w:spacing w:before="0" w:after="0" w:line="240" w:lineRule="auto"/>
              <w:ind w:firstLine="0"/>
              <w:jc w:val="center"/>
            </w:pPr>
            <w:r>
              <w:rPr>
                <w:rFonts w:ascii="Times New Roman" w:hAnsi="Times New Roman" w:eastAsia="宋体"/>
                <w:b/>
                <w:sz w:val="19"/>
              </w:rPr>
              <w:t>广义散度</w:t>
            </w:r>
          </w:p>
        </w:tc>
        <w:tc>
          <w:tcPr>
            <w:tcW w:w="4148" w:type="dxa"/>
            <w:vAlign w:val="center"/>
          </w:tcPr>
          <w:p>
            <w:pPr>
              <w:spacing w:before="0" w:after="0" w:line="240" w:lineRule="auto"/>
              <w:ind w:firstLine="0"/>
              <w:jc w:val="center"/>
            </w:pPr>
            <w:r>
              <w:rPr>
                <w:rFonts w:ascii="Times New Roman" w:hAnsi="Times New Roman" w:eastAsia="宋体"/>
                <w:b/>
                <w:sz w:val="19"/>
              </w:rPr>
              <w:t>说明</w:t>
            </w:r>
          </w:p>
        </w:tc>
      </w:tr>
      <w:tr>
        <w:tc>
          <w:tcPr>
            <w:tcW w:w="4148" w:type="dxa"/>
            <w:vAlign w:val="center"/>
          </w:tcPr>
          <w:p>
            <w:pPr>
              <w:spacing w:before="0" w:after="0" w:line="240" w:lineRule="auto"/>
              <w:ind w:firstLine="0"/>
              <w:jc w:val="center"/>
            </w:pPr>
            <w:r>
              <w:rPr>
                <w:rFonts w:ascii="Times New Roman" w:hAnsi="Times New Roman" w:eastAsia="宋体"/>
                <w:b w:val="0"/>
                <w:sz w:val="19"/>
              </w:rPr>
              <w:t>全词表</w:t>
            </w:r>
          </w:p>
        </w:tc>
        <w:tc>
          <w:tcPr>
            <w:tcW w:w="4148" w:type="dxa"/>
            <w:vAlign w:val="center"/>
          </w:tcPr>
          <w:p>
            <w:pPr>
              <w:spacing w:before="0" w:after="0" w:line="240" w:lineRule="auto"/>
              <w:ind w:firstLine="0"/>
              <w:jc w:val="center"/>
            </w:pPr>
            <w:r>
              <w:rPr>
                <w:rFonts w:ascii="Times New Roman" w:hAnsi="Times New Roman" w:eastAsia="宋体"/>
                <w:b w:val="0"/>
                <w:sz w:val="19"/>
              </w:rPr>
              <w:t>全词表 FKL</w:t>
            </w:r>
          </w:p>
        </w:tc>
        <w:tc>
          <w:tcPr>
            <w:tcW w:w="4148" w:type="dxa"/>
            <w:vAlign w:val="center"/>
          </w:tcPr>
          <w:p>
            <w:pPr>
              <w:spacing w:before="0" w:after="0" w:line="240" w:lineRule="auto"/>
              <w:ind w:firstLine="0"/>
              <w:jc w:val="center"/>
            </w:pPr>
            <w:r>
              <w:rPr>
                <w:rFonts w:ascii="Times New Roman" w:hAnsi="Times New Roman" w:eastAsia="宋体"/>
                <w:b w:val="0"/>
                <w:sz w:val="19"/>
              </w:rPr>
              <w:t>全词表 RKL</w:t>
            </w:r>
          </w:p>
        </w:tc>
        <w:tc>
          <w:tcPr>
            <w:tcW w:w="4148" w:type="dxa"/>
            <w:vAlign w:val="center"/>
          </w:tcPr>
          <w:p>
            <w:pPr>
              <w:spacing w:before="0" w:after="0" w:line="240" w:lineRule="auto"/>
              <w:ind w:firstLine="0"/>
              <w:jc w:val="center"/>
            </w:pPr>
            <w:r>
              <w:rPr>
                <w:rFonts w:ascii="Times New Roman" w:hAnsi="Times New Roman" w:eastAsia="宋体"/>
                <w:b w:val="0"/>
                <w:sz w:val="19"/>
              </w:rPr>
              <w:t>全词表广义散度</w:t>
            </w:r>
          </w:p>
        </w:tc>
        <w:tc>
          <w:tcPr>
            <w:tcW w:w="4148" w:type="dxa"/>
            <w:vAlign w:val="center"/>
          </w:tcPr>
          <w:p>
            <w:pPr>
              <w:spacing w:before="0" w:after="0" w:line="240" w:lineRule="auto"/>
              <w:ind w:firstLine="0"/>
              <w:jc w:val="center"/>
            </w:pPr>
            <w:r>
              <w:rPr>
                <w:rFonts w:ascii="Times New Roman" w:hAnsi="Times New Roman" w:eastAsia="宋体"/>
                <w:b w:val="0"/>
                <w:sz w:val="19"/>
              </w:rPr>
              <w:t>完整分布对照</w:t>
            </w:r>
          </w:p>
        </w:tc>
      </w:tr>
      <w:tr>
        <w:tc>
          <w:tcPr>
            <w:tcW w:w="4148" w:type="dxa"/>
            <w:vAlign w:val="center"/>
          </w:tcPr>
          <w:p>
            <w:pPr>
              <w:spacing w:before="0" w:after="0" w:line="240" w:lineRule="auto"/>
              <w:ind w:firstLine="0"/>
              <w:jc w:val="center"/>
            </w:pPr>
            <w:r>
              <w:rPr>
                <w:rFonts w:ascii="Times New Roman" w:hAnsi="Times New Roman" w:eastAsia="宋体"/>
                <w:b w:val="0"/>
                <w:sz w:val="19"/>
              </w:rPr>
              <w:t>Top-K</w:t>
            </w:r>
          </w:p>
        </w:tc>
        <w:tc>
          <w:tcPr>
            <w:tcW w:w="4148" w:type="dxa"/>
            <w:vAlign w:val="center"/>
          </w:tcPr>
          <w:p>
            <w:pPr>
              <w:spacing w:before="0" w:after="0" w:line="240" w:lineRule="auto"/>
              <w:ind w:firstLine="0"/>
              <w:jc w:val="center"/>
            </w:pPr>
            <w:r>
              <w:rPr>
                <w:rFonts w:ascii="Times New Roman" w:hAnsi="Times New Roman" w:eastAsia="宋体"/>
                <w:b w:val="0"/>
                <w:sz w:val="19"/>
              </w:rPr>
              <w:t>Top-K FKL</w:t>
            </w:r>
          </w:p>
        </w:tc>
        <w:tc>
          <w:tcPr>
            <w:tcW w:w="4148" w:type="dxa"/>
            <w:vAlign w:val="center"/>
          </w:tcPr>
          <w:p>
            <w:pPr>
              <w:spacing w:before="0" w:after="0" w:line="240" w:lineRule="auto"/>
              <w:ind w:firstLine="0"/>
              <w:jc w:val="center"/>
            </w:pPr>
            <w:r>
              <w:rPr>
                <w:rFonts w:ascii="Times New Roman" w:hAnsi="Times New Roman" w:eastAsia="宋体"/>
                <w:b w:val="0"/>
                <w:sz w:val="19"/>
              </w:rPr>
              <w:t>Top-K RKL</w:t>
            </w:r>
          </w:p>
        </w:tc>
        <w:tc>
          <w:tcPr>
            <w:tcW w:w="4148" w:type="dxa"/>
            <w:vAlign w:val="center"/>
          </w:tcPr>
          <w:p>
            <w:pPr>
              <w:spacing w:before="0" w:after="0" w:line="240" w:lineRule="auto"/>
              <w:ind w:firstLine="0"/>
              <w:jc w:val="center"/>
            </w:pPr>
            <w:r>
              <w:rPr>
                <w:rFonts w:ascii="Times New Roman" w:hAnsi="Times New Roman" w:eastAsia="宋体"/>
                <w:b w:val="0"/>
                <w:sz w:val="19"/>
              </w:rPr>
              <w:t>Top-K 广义散度</w:t>
            </w:r>
          </w:p>
        </w:tc>
        <w:tc>
          <w:tcPr>
            <w:tcW w:w="4148" w:type="dxa"/>
            <w:vAlign w:val="center"/>
          </w:tcPr>
          <w:p>
            <w:pPr>
              <w:spacing w:before="0" w:after="0" w:line="240" w:lineRule="auto"/>
              <w:ind w:firstLine="0"/>
              <w:jc w:val="center"/>
            </w:pPr>
            <w:r>
              <w:rPr>
                <w:rFonts w:ascii="Times New Roman" w:hAnsi="Times New Roman" w:eastAsia="宋体"/>
                <w:b w:val="0"/>
                <w:sz w:val="19"/>
              </w:rPr>
              <w:t>稀疏支持集</w:t>
            </w:r>
          </w:p>
        </w:tc>
      </w:tr>
      <w:tr>
        <w:tc>
          <w:tcPr>
            <w:tcW w:w="4148" w:type="dxa"/>
            <w:vAlign w:val="center"/>
          </w:tcPr>
          <w:p>
            <w:pPr>
              <w:spacing w:before="0" w:after="0" w:line="240" w:lineRule="auto"/>
              <w:ind w:firstLine="0"/>
              <w:jc w:val="center"/>
            </w:pPr>
            <w:r>
              <w:rPr>
                <w:rFonts w:ascii="Times New Roman" w:hAnsi="Times New Roman" w:eastAsia="宋体"/>
                <w:b w:val="0"/>
                <w:sz w:val="19"/>
              </w:rPr>
              <w:t>K1 sampled-token</w:t>
            </w:r>
          </w:p>
        </w:tc>
        <w:tc>
          <w:tcPr>
            <w:tcW w:w="4148" w:type="dxa"/>
            <w:vAlign w:val="center"/>
          </w:tcPr>
          <w:p>
            <w:pPr>
              <w:spacing w:before="0" w:after="0" w:line="240" w:lineRule="auto"/>
              <w:ind w:firstLine="0"/>
              <w:jc w:val="center"/>
            </w:pPr>
            <w:r>
              <w:rPr>
                <w:rFonts w:ascii="Times New Roman" w:hAnsi="Times New Roman" w:eastAsia="宋体"/>
                <w:b w:val="0"/>
                <w:sz w:val="19"/>
              </w:rPr>
              <w:t>K1-FKL 估计</w:t>
            </w:r>
          </w:p>
        </w:tc>
        <w:tc>
          <w:tcPr>
            <w:tcW w:w="4148" w:type="dxa"/>
            <w:vAlign w:val="center"/>
          </w:tcPr>
          <w:p>
            <w:pPr>
              <w:spacing w:before="0" w:after="0" w:line="240" w:lineRule="auto"/>
              <w:ind w:firstLine="0"/>
              <w:jc w:val="center"/>
            </w:pPr>
            <w:r>
              <w:rPr>
                <w:rFonts w:ascii="Times New Roman" w:hAnsi="Times New Roman" w:eastAsia="宋体"/>
                <w:b w:val="0"/>
                <w:sz w:val="19"/>
              </w:rPr>
              <w:t>K1-RKL 估计</w:t>
            </w:r>
          </w:p>
        </w:tc>
        <w:tc>
          <w:tcPr>
            <w:tcW w:w="4148" w:type="dxa"/>
            <w:vAlign w:val="center"/>
          </w:tcPr>
          <w:p>
            <w:pPr>
              <w:spacing w:before="0" w:after="0" w:line="240" w:lineRule="auto"/>
              <w:ind w:firstLine="0"/>
              <w:jc w:val="center"/>
            </w:pPr>
            <w:r>
              <w:rPr>
                <w:rFonts w:ascii="Times New Roman" w:hAnsi="Times New Roman" w:eastAsia="宋体"/>
                <w:b w:val="0"/>
                <w:sz w:val="19"/>
              </w:rPr>
              <w:t>K1 广义散度估计</w:t>
            </w:r>
          </w:p>
        </w:tc>
        <w:tc>
          <w:tcPr>
            <w:tcW w:w="4148" w:type="dxa"/>
            <w:vAlign w:val="center"/>
          </w:tcPr>
          <w:p>
            <w:pPr>
              <w:spacing w:before="0" w:after="0" w:line="240" w:lineRule="auto"/>
              <w:ind w:firstLine="0"/>
              <w:jc w:val="center"/>
            </w:pPr>
            <w:r>
              <w:rPr>
                <w:rFonts w:ascii="Times New Roman" w:hAnsi="Times New Roman" w:eastAsia="宋体"/>
                <w:b w:val="0"/>
                <w:sz w:val="19"/>
              </w:rPr>
              <w:t>单样本随机估计</w:t>
            </w:r>
          </w:p>
        </w:tc>
      </w:tr>
    </w:tbl>
    <w:p>
      <w:pPr>
        <w:pStyle w:val="a"/>
        <w:jc w:val="both"/>
        <w:ind w:firstLine="420"/>
      </w:pPr>
      <w:r>
        <w:t>比较矩阵覆盖三类目标函数和三种监督方案。各实验使用统一的数据、训练预算和评测协议，并在配置中记录损失形式、K 值、支持集、重归一化、K1 proposal、梯度估计和数值精度。</w:t>
      </w:r>
    </w:p>
    <w:p>
      <w:pPr>
        <w:pStyle w:val="a"/>
        <w:jc w:val="both"/>
        <w:ind w:firstLine="420"/>
      </w:pPr>
      <w:r>
        <w:t>三种监督方案和广义散度的名称定义如下：</w:t>
      </w:r>
    </w:p>
    <w:p>
      <w:pPr>
        <w:pStyle w:val="a8"/>
        <w:jc w:val="left"/>
        <w:ind w:firstLine="420"/>
      </w:pPr>
      <w:r>
        <w:t>• “全词表”表示教师完整输出在规定有效位置上参与分布匹配；工程实现可采用分块计算或流式处理。</w:t>
      </w:r>
    </w:p>
    <w:p>
      <w:pPr>
        <w:pStyle w:val="a8"/>
        <w:jc w:val="left"/>
        <w:ind w:firstLine="420"/>
      </w:pPr>
      <w:r>
        <w:t>• “Top-K”表示使用明确的高概率 token 支持集，并记录支持集来源、重归一化和支持集外概率处理。</w:t>
      </w:r>
    </w:p>
    <w:p>
      <w:pPr>
        <w:pStyle w:val="a8"/>
        <w:jc w:val="left"/>
        <w:ind w:firstLine="420"/>
      </w:pPr>
      <w:r>
        <w:t>• “K1 sampled-token”表示每个位置使用一个采样 token 估计相应期望，与选择最大概率 token 的硬标签方法分开记录。</w:t>
      </w:r>
    </w:p>
    <w:p>
      <w:pPr>
        <w:pStyle w:val="a8"/>
        <w:jc w:val="left"/>
        <w:ind w:firstLine="420"/>
      </w:pPr>
      <w:r>
        <w:t>• “广义散度”分析 JSD、skew KL 等代表性目标，并在实验配置中记录具体公式、混合参数和梯度计算规则。</w:t>
      </w:r>
    </w:p>
    <w:p>
      <w:pPr>
        <w:pStyle w:val="a"/>
        <w:jc w:val="both"/>
        <w:ind w:firstLine="420"/>
      </w:pPr>
      <w:r>
        <w:t>师生词表、token 边界和特殊 token 需要保持可对齐。正式训练前通过 tokenizer 单元测试、模板回环测试和小批量损失/梯度测试验证对数概率、Mask、padding 和梯度传播的正确性。</w:t>
      </w:r>
    </w:p>
    <w:p>
      <w:pPr>
        <w:pStyle w:val="2"/>
      </w:pPr>
      <w:r>
        <w:rPr>
          <w:rFonts w:ascii="SimHei" w:hAnsi="SimHei" w:eastAsia="黑体" w:cs="SimHei"/>
          <w:b/>
          <w:color w:val="000000"/>
          <w:sz w:val="24"/>
        </w:rPr>
        <w:t>4.5 评价指标和公平性</w:t>
      </w:r>
    </w:p>
    <w:p>
      <w:pPr>
        <w:pStyle w:val="a"/>
        <w:jc w:val="both"/>
        <w:ind w:firstLine="420"/>
      </w:pPr>
      <w:r>
        <w:t>评价指标分为任务效果、训练稳定性、分布与误差分析、资源与部署四类：</w:t>
      </w:r>
    </w:p>
    <w:tbl>
      <w:tblPr>
        <w:tblStyle w:val="a9"/>
        <w:tblW w:w="0" w:type="auto"/>
        <w:tblLook w:val="04A0" w:firstRow="1" w:lastRow="0" w:firstColumn="1" w:lastColumn="0" w:noHBand="0" w:noVBand="1"/>
      </w:tblPr>
      <w:tblGrid>
        <w:gridCol w:w="4148"/>
        <w:gridCol w:w="4148"/>
      </w:tblGrid>
      <w:tr>
        <w:trPr>
          <w:tblHeader/>
        </w:trPr>
        <w:tc>
          <w:tcPr>
            <w:tcW w:w="4148" w:type="dxa"/>
          </w:tcPr>
          <w:p>
            <w:pPr>
              <w:pStyle w:val="a"/>
              <w:jc w:val="left"/>
              <w:ind w:firstLine="0"/>
            </w:pPr>
            <w:r>
              <w:rPr>
                <w:b/>
              </w:rPr>
              <w:t>类别</w:t>
            </w:r>
          </w:p>
        </w:tc>
        <w:tc>
          <w:tcPr>
            <w:tcW w:w="4148" w:type="dxa"/>
          </w:tcPr>
          <w:p>
            <w:pPr>
              <w:pStyle w:val="a"/>
              <w:jc w:val="left"/>
              <w:ind w:firstLine="0"/>
            </w:pPr>
            <w:r>
              <w:rPr>
                <w:b/>
              </w:rPr>
              <w:t>关注内容</w:t>
            </w:r>
          </w:p>
        </w:tc>
      </w:tr>
      <w:tr>
        <w:tc>
          <w:tcPr>
            <w:tcW w:w="4148" w:type="dxa"/>
          </w:tcPr>
          <w:p>
            <w:pPr>
              <w:pStyle w:val="a"/>
              <w:jc w:val="left"/>
              <w:ind w:firstLine="0"/>
            </w:pPr>
            <w:r>
              <w:t>核心任务效果</w:t>
            </w:r>
          </w:p>
        </w:tc>
        <w:tc>
          <w:tcPr>
            <w:tcW w:w="4148" w:type="dxa"/>
          </w:tcPr>
          <w:p>
            <w:pPr>
              <w:pStyle w:val="a"/>
              <w:jc w:val="left"/>
              <w:ind w:firstLine="0"/>
            </w:pPr>
            <w:r>
              <w:t>JSON/结构化格式合法性、函数名、参数键和值、schema 通过率、调用执行成功率、端到端任务完成率</w:t>
            </w:r>
          </w:p>
        </w:tc>
      </w:tr>
      <w:tr>
        <w:tc>
          <w:tcPr>
            <w:tcW w:w="4148" w:type="dxa"/>
          </w:tcPr>
          <w:p>
            <w:pPr>
              <w:pStyle w:val="a"/>
              <w:jc w:val="left"/>
              <w:ind w:firstLine="0"/>
            </w:pPr>
            <w:r>
              <w:t>核心稳定性与分布</w:t>
            </w:r>
          </w:p>
        </w:tc>
        <w:tc>
          <w:tcPr>
            <w:tcW w:w="4148" w:type="dxa"/>
          </w:tcPr>
          <w:p>
            <w:pPr>
              <w:pStyle w:val="a"/>
              <w:jc w:val="left"/>
              <w:ind w:firstLine="0"/>
            </w:pPr>
            <w:r>
              <w:t>蒸馏损失、熵变化、师生分布差异、Top-K overlap、支持集外比例、非法输出和重复率</w:t>
            </w:r>
          </w:p>
        </w:tc>
      </w:tr>
      <w:tr>
        <w:tc>
          <w:tcPr>
            <w:tcW w:w="4148" w:type="dxa"/>
          </w:tcPr>
          <w:p>
            <w:pPr>
              <w:pStyle w:val="a"/>
              <w:jc w:val="left"/>
              <w:ind w:firstLine="0"/>
            </w:pPr>
            <w:r>
              <w:t>核心训练资源</w:t>
            </w:r>
          </w:p>
        </w:tc>
        <w:tc>
          <w:tcPr>
            <w:tcW w:w="4148" w:type="dxa"/>
          </w:tcPr>
          <w:p>
            <w:pPr>
              <w:pStyle w:val="a"/>
              <w:jc w:val="left"/>
              <w:ind w:firstLine="0"/>
            </w:pPr>
            <w:r>
              <w:t>教师反馈量、教师推理开销、学生 rollout 开销、训练时间和显存</w:t>
            </w:r>
          </w:p>
        </w:tc>
      </w:tr>
      <w:tr>
        <w:tc>
          <w:tcPr>
            <w:tcW w:w="4148" w:type="dxa"/>
          </w:tcPr>
          <w:p>
            <w:pPr>
              <w:pStyle w:val="a"/>
              <w:jc w:val="left"/>
              <w:ind w:firstLine="0"/>
            </w:pPr>
            <w:r>
              <w:t>扩展服务评测</w:t>
            </w:r>
          </w:p>
        </w:tc>
        <w:tc>
          <w:tcPr>
            <w:tcW w:w="4148" w:type="dxa"/>
          </w:tcPr>
          <w:p>
            <w:pPr>
              <w:pStyle w:val="a"/>
              <w:jc w:val="left"/>
              <w:ind w:firstLine="0"/>
            </w:pPr>
            <w:r>
              <w:t>吞吐、首 token 延迟、完整响应延迟和端到端任务成功率</w:t>
            </w:r>
          </w:p>
        </w:tc>
      </w:tr>
    </w:tbl>
    <w:p>
      <w:pPr>
        <w:pStyle w:val="a"/>
        <w:jc w:val="both"/>
        <w:ind w:firstLine="420"/>
      </w:pPr>
      <w:r>
        <w:t>BFCL 为结构化函数调用评测提供参考[27]。本课题使用明确的指标定义评估函数选择、参数、schema、调用执行和任务完成情况；推理性能评测进一步记录吞吐、首 token 延迟、完整响应延迟、峰值显存和端到端调用成功率。</w:t>
      </w:r>
    </w:p>
    <w:p>
      <w:pPr>
        <w:pStyle w:val="a"/>
        <w:jc w:val="both"/>
        <w:ind w:firstLine="420"/>
      </w:pPr>
      <w:r>
        <w:t>在操作层面，函数名准确率应比较规范化后的函数标识；参数键准确率应检查字段集合或字段级匹配；参数值准确率应依据 schema 和任务允许的等价规则比较；schema 合法率应检查类型、必填字段和枚举约束；执行成功率应以模拟工具返回的结果为准；端到端成功率则需要检查规定交互范围内是否完成目标。各指标不能互相替代，例如 JSON 可以解析不代表函数正确，函数和参数正确也不一定代表工具结果被正确利用。</w:t>
      </w:r>
    </w:p>
    <w:p>
      <w:pPr>
        <w:pStyle w:val="a"/>
        <w:jc w:val="both"/>
        <w:ind w:firstLine="420"/>
      </w:pPr>
      <w:r>
        <w:t>稳定性分析覆盖完整训练过程，记录损失、有效 token 数、师生熵、Top-K overlap、格式错误、支持集外概率、梯度范数和异常值。资源分析分别统计学生 rollout、教师前向和最终服务三个阶段，区分蒸馏训练效率与部署吞吐。</w:t>
      </w:r>
    </w:p>
    <w:p>
      <w:pPr>
        <w:pStyle w:val="a"/>
        <w:jc w:val="both"/>
        <w:ind w:firstLine="420"/>
      </w:pPr>
      <w:r>
        <w:t>公平性原则是固定学生、教师、公开数据、数据划分、LoRA 配置、训练预算、生成条件和评测脚本。所有实验保存配置、代码提交号、模型版本、数据版本、依赖版本、硬件环境和原始指标；不同成本口径同时报告学生更新量、墙钟时间和教师调用开销。</w:t>
      </w:r>
    </w:p>
    <w:p>
      <w:pPr>
        <w:pStyle w:val="a"/>
        <w:jc w:val="both"/>
        <w:ind w:firstLine="420"/>
      </w:pPr>
      <w:r>
        <w:t>结果分析报告完整训练曲线、验证与测试统计、重复运行波动和资源消耗。失败案例按照工具选择、结构解析、参数字段、参数值、上下文和执行环节分类，并比较不同散度和监督方案的错误分布。</w:t>
      </w:r>
    </w:p>
    <w:p>
      <w:pPr>
        <w:pStyle w:val="2"/>
      </w:pPr>
      <w:r>
        <w:rPr>
          <w:rFonts w:ascii="SimHei" w:hAnsi="SimHei" w:eastAsia="黑体" w:cs="SimHei"/>
          <w:b/>
          <w:color w:val="000000"/>
          <w:sz w:val="24"/>
        </w:rPr>
        <w:t>4.6 可行性和风险控制</w:t>
      </w:r>
    </w:p>
    <w:p>
      <w:pPr>
        <w:pStyle w:val="a"/>
        <w:jc w:val="both"/>
        <w:ind w:firstLine="420"/>
      </w:pPr>
      <w:r>
        <w:t>Qwen3-0.6B 学生、Qwen3-4B 教师和 LoRA 后训练构成可实施的模型组合，PyTorch、Transformers、PEFT 与 vLLM 提供训练和部署基础。教师在线前向与全词表分布是主要资源压力，实验将通过短序列验证、小批量训练、梯度累积、混合精度、教师输出缓存和分块计算控制资源开销。</w:t>
      </w:r>
    </w:p>
    <w:p>
      <w:pPr>
        <w:pStyle w:val="a"/>
        <w:jc w:val="both"/>
        <w:ind w:firstLine="420"/>
      </w:pPr>
      <w:r>
        <w:t>主要风险及对策如下：</w:t>
      </w:r>
    </w:p>
    <w:tbl>
      <w:tblPr>
        <w:tblStyle w:val="a9"/>
        <w:tblW w:w="0" w:type="auto"/>
        <w:tblLook w:val="04A0" w:firstRow="1" w:lastRow="0" w:firstColumn="1" w:lastColumn="0" w:noHBand="0" w:noVBand="1"/>
      </w:tblPr>
      <w:tblGrid>
        <w:gridCol w:w="4148"/>
        <w:gridCol w:w="4148"/>
      </w:tblGrid>
      <w:tr>
        <w:trPr>
          <w:tblHeader/>
        </w:trPr>
        <w:tc>
          <w:tcPr>
            <w:tcW w:w="4148" w:type="dxa"/>
          </w:tcPr>
          <w:p>
            <w:pPr>
              <w:pStyle w:val="a"/>
              <w:jc w:val="left"/>
              <w:ind w:firstLine="0"/>
            </w:pPr>
            <w:r>
              <w:rPr>
                <w:b/>
              </w:rPr>
              <w:t>风险</w:t>
            </w:r>
          </w:p>
        </w:tc>
        <w:tc>
          <w:tcPr>
            <w:tcW w:w="4148" w:type="dxa"/>
          </w:tcPr>
          <w:p>
            <w:pPr>
              <w:pStyle w:val="a"/>
              <w:jc w:val="left"/>
              <w:ind w:firstLine="0"/>
            </w:pPr>
            <w:r>
              <w:t>解决措施</w:t>
            </w:r>
          </w:p>
        </w:tc>
      </w:tr>
      <w:tr>
        <w:tc>
          <w:tcPr>
            <w:tcW w:w="4148" w:type="dxa"/>
          </w:tcPr>
          <w:p>
            <w:pPr>
              <w:pStyle w:val="a"/>
              <w:jc w:val="left"/>
              <w:ind w:firstLine="0"/>
            </w:pPr>
            <w:r>
              <w:t>师生 tokenizer、模板或特殊 token 不兼容</w:t>
            </w:r>
          </w:p>
        </w:tc>
        <w:tc>
          <w:tcPr>
            <w:tcW w:w="4148" w:type="dxa"/>
          </w:tcPr>
          <w:p>
            <w:pPr>
              <w:pStyle w:val="a"/>
              <w:jc w:val="left"/>
              <w:ind w:firstLine="0"/>
            </w:pPr>
            <w:r>
              <w:t>训练前审计并记录版本，通过对齐测试统一蒸馏输入。</w:t>
            </w:r>
          </w:p>
        </w:tc>
      </w:tr>
      <w:tr>
        <w:tc>
          <w:tcPr>
            <w:tcW w:w="4148" w:type="dxa"/>
          </w:tcPr>
          <w:p>
            <w:pPr>
              <w:pStyle w:val="a"/>
              <w:jc w:val="left"/>
              <w:ind w:firstLine="0"/>
            </w:pPr>
            <w:r>
              <w:t>教师全词表反馈开销过高</w:t>
            </w:r>
          </w:p>
        </w:tc>
        <w:tc>
          <w:tcPr>
            <w:tcW w:w="4148" w:type="dxa"/>
          </w:tcPr>
          <w:p>
            <w:pPr>
              <w:pStyle w:val="a"/>
              <w:jc w:val="left"/>
              <w:ind w:firstLine="0"/>
            </w:pPr>
            <w:r>
              <w:t>比较全词表、Top-K、K1 的反馈量，采用分块计算、缓存和梯度累积控制资源开销。</w:t>
            </w:r>
          </w:p>
        </w:tc>
      </w:tr>
      <w:tr>
        <w:tc>
          <w:tcPr>
            <w:tcW w:w="4148" w:type="dxa"/>
          </w:tcPr>
          <w:p>
            <w:pPr>
              <w:pStyle w:val="a"/>
              <w:jc w:val="left"/>
              <w:ind w:firstLine="0"/>
            </w:pPr>
            <w:r>
              <w:t>Top-K/K1 估计不稳定</w:t>
            </w:r>
          </w:p>
        </w:tc>
        <w:tc>
          <w:tcPr>
            <w:tcW w:w="4148" w:type="dxa"/>
          </w:tcPr>
          <w:p>
            <w:pPr>
              <w:pStyle w:val="a"/>
              <w:jc w:val="left"/>
              <w:ind w:firstLine="0"/>
            </w:pPr>
            <w:r>
              <w:t>记录支持集外比例、熵和异常 loss；稳定化扩展只在主方案可运行后考虑。</w:t>
            </w:r>
          </w:p>
        </w:tc>
      </w:tr>
      <w:tr>
        <w:tc>
          <w:tcPr>
            <w:tcW w:w="4148" w:type="dxa"/>
          </w:tcPr>
          <w:p>
            <w:pPr>
              <w:pStyle w:val="a"/>
              <w:jc w:val="left"/>
              <w:ind w:firstLine="0"/>
            </w:pPr>
            <w:r>
              <w:t>数据格式、许可证或训练测试泄漏</w:t>
            </w:r>
          </w:p>
        </w:tc>
        <w:tc>
          <w:tcPr>
            <w:tcW w:w="4148" w:type="dxa"/>
          </w:tcPr>
          <w:p>
            <w:pPr>
              <w:pStyle w:val="a"/>
              <w:jc w:val="left"/>
              <w:ind w:firstLine="0"/>
            </w:pPr>
            <w:r>
              <w:t>核验数据卡和许可证，去重并隔离测试集，保存版本和过滤规则。</w:t>
            </w:r>
          </w:p>
        </w:tc>
      </w:tr>
      <w:tr>
        <w:tc>
          <w:tcPr>
            <w:tcW w:w="4148" w:type="dxa"/>
          </w:tcPr>
          <w:p>
            <w:pPr>
              <w:pStyle w:val="a"/>
              <w:jc w:val="left"/>
              <w:ind w:firstLine="0"/>
            </w:pPr>
            <w:r>
              <w:t>离线 token 指标与端到端调用结果不一致</w:t>
            </w:r>
          </w:p>
        </w:tc>
        <w:tc>
          <w:tcPr>
            <w:tcW w:w="4148" w:type="dxa"/>
          </w:tcPr>
          <w:p>
            <w:pPr>
              <w:pStyle w:val="a"/>
              <w:jc w:val="left"/>
              <w:ind w:firstLine="0"/>
            </w:pPr>
            <w:r>
              <w:t>分层报告格式、函数、参数、执行和端到端任务指标，保留失败轨迹。</w:t>
            </w:r>
          </w:p>
        </w:tc>
      </w:tr>
      <w:tr>
        <w:tc>
          <w:tcPr>
            <w:tcW w:w="4148" w:type="dxa"/>
          </w:tcPr>
          <w:p>
            <w:pPr>
              <w:pStyle w:val="a"/>
              <w:jc w:val="left"/>
              <w:ind w:firstLine="0"/>
            </w:pPr>
            <w:r>
              <w:t>推理后端兼容性问题</w:t>
            </w:r>
          </w:p>
        </w:tc>
        <w:tc>
          <w:tcPr>
            <w:tcW w:w="4148" w:type="dxa"/>
          </w:tcPr>
          <w:p>
            <w:pPr>
              <w:pStyle w:val="a"/>
              <w:jc w:val="left"/>
              <w:ind w:firstLine="0"/>
            </w:pPr>
            <w:r>
              <w:t>先完成最小推理验证，再固定 vLLM 或自建测试程序的版本、加载方式和测量参数。</w:t>
            </w:r>
          </w:p>
        </w:tc>
      </w:tr>
    </w:tbl>
    <w:p>
      <w:pPr>
        <w:pStyle w:val="2"/>
      </w:pPr>
      <w:r>
        <w:rPr>
          <w:rFonts w:ascii="SimHei" w:hAnsi="SimHei" w:eastAsia="黑体" w:cs="SimHei"/>
          <w:b/>
          <w:color w:val="000000"/>
          <w:sz w:val="24"/>
        </w:rPr>
        <w:t>4.7 Top-K 稳定化拓展</w:t>
      </w:r>
    </w:p>
    <w:p>
      <w:pPr>
        <w:pStyle w:val="a"/>
        <w:jc w:val="both"/>
        <w:ind w:firstLine="420"/>
      </w:pPr>
      <w:r>
        <w:t>完成主要比较后，将进一步考察 Top-K 支持集修复和损失截断方法，包括师生高概率集合并集、残余概率质量保留和极端概率比裁剪，用于分析截断监督的稳定性。</w:t>
      </w:r>
    </w:p>
    <w:p>
      <w:pPr>
        <w:pStyle w:val="1"/>
      </w:pPr>
      <w:r>
        <w:rPr>
          <w:rFonts w:ascii="SimHei" w:hAnsi="SimHei" w:eastAsia="黑体" w:cs="SimHei"/>
          <w:b/>
          <w:color w:val="000000"/>
          <w:sz w:val="28"/>
        </w:rPr>
        <w:t>5．进度安排，预期达到的目标</w:t>
      </w:r>
    </w:p>
    <w:p>
      <w:pPr>
        <w:pStyle w:val="2"/>
      </w:pPr>
      <w:r>
        <w:rPr>
          <w:rFonts w:ascii="SimHei" w:hAnsi="SimHei" w:eastAsia="黑体" w:cs="SimHei"/>
          <w:b/>
          <w:color w:val="000000"/>
          <w:sz w:val="24"/>
        </w:rPr>
        <w:t>5.1 进度安排</w:t>
      </w:r>
    </w:p>
    <w:p>
      <w:pPr>
        <w:jc w:val="both"/>
        <w:spacing w:line="360" w:lineRule="auto" w:before="0" w:after="0"/>
        <w:ind w:firstLine="420"/>
      </w:pPr>
      <w:r>
        <w:rPr>
          <w:rFonts w:ascii="Times New Roman" w:hAnsi="Times New Roman" w:eastAsia="宋体"/>
          <w:sz w:val="24"/>
        </w:rPr>
        <w:t>本课题按 16 周组织实施，进度安排如图 3 和表中所示。中期检查设置在多组合正式训练阶段，以训练链路已跑通、阶段性配置与日志可追溯为主要检查依据。</w:t>
      </w:r>
    </w:p>
    <w:tbl>
      <w:tblPr>
        <w:tblStyle w:val="a9"/>
        <w:tblW w:w="0" w:type="auto"/>
        <w:jc w:val="center"/>
        <w:tblLook w:val="04A0" w:firstRow="1" w:lastRow="0" w:firstColumn="1" w:lastColumn="0" w:noHBand="0" w:noVBand="1"/>
      </w:tblPr>
      <w:tblGrid>
        <w:gridCol w:w="2765"/>
        <w:gridCol w:w="2765"/>
        <w:gridCol w:w="2765"/>
      </w:tblGrid>
      <w:tr>
        <w:trPr>
          <w:tblHeader/>
        </w:trPr>
        <w:tc>
          <w:tcPr>
            <w:tcW w:w="4148" w:type="dxa"/>
            <w:vAlign w:val="center"/>
          </w:tcPr>
          <w:p>
            <w:pPr>
              <w:pStyle w:val="a"/>
              <w:jc w:val="center"/>
              <w:spacing w:before="0" w:after="0" w:line="240" w:lineRule="auto"/>
              <w:ind w:firstLine="0"/>
            </w:pPr>
            <w:r>
              <w:rPr>
                <w:rFonts w:ascii="Times New Roman" w:hAnsi="Times New Roman" w:eastAsia="宋体"/>
                <w:b/>
                <w:sz w:val="17"/>
              </w:rPr>
              <w:t>阶段</w:t>
            </w:r>
          </w:p>
        </w:tc>
        <w:tc>
          <w:tcPr>
            <w:tcW w:w="4148" w:type="dxa"/>
            <w:vAlign w:val="center"/>
          </w:tcPr>
          <w:p>
            <w:pPr>
              <w:pStyle w:val="a"/>
              <w:jc w:val="center"/>
              <w:spacing w:before="0" w:after="0" w:line="240" w:lineRule="auto"/>
              <w:ind w:firstLine="0"/>
            </w:pPr>
            <w:r>
              <w:rPr>
                <w:rFonts w:ascii="Times New Roman" w:hAnsi="Times New Roman" w:eastAsia="宋体"/>
                <w:b/>
                <w:sz w:val="17"/>
              </w:rPr>
              <w:t>计划内容</w:t>
            </w:r>
          </w:p>
        </w:tc>
        <w:tc>
          <w:tcPr>
            <w:tcW w:w="4148" w:type="dxa"/>
            <w:vAlign w:val="center"/>
          </w:tcPr>
          <w:p>
            <w:pPr>
              <w:pStyle w:val="a"/>
              <w:jc w:val="center"/>
              <w:spacing w:before="0" w:after="0" w:line="240" w:lineRule="auto"/>
              <w:ind w:firstLine="0"/>
            </w:pPr>
            <w:r>
              <w:rPr>
                <w:rFonts w:ascii="Times New Roman" w:hAnsi="Times New Roman" w:eastAsia="宋体"/>
                <w:b/>
                <w:sz w:val="17"/>
              </w:rPr>
              <w:t>预期材料</w:t>
            </w:r>
          </w:p>
        </w:tc>
      </w:tr>
      <w:tr>
        <w:tc>
          <w:tcPr>
            <w:tcW w:type="dxa" w:w="2765"/>
            <w:vAlign w:val="center"/>
          </w:tcPr>
          <w:p>
            <w:pPr>
              <w:spacing w:before="0" w:after="0" w:line="240" w:lineRule="auto"/>
              <w:ind w:firstLine="0"/>
              <w:jc w:val="center"/>
            </w:pPr>
            <w:r>
              <w:rPr>
                <w:rFonts w:ascii="Times New Roman" w:hAnsi="Times New Roman" w:eastAsia="宋体"/>
                <w:b w:val="0"/>
                <w:sz w:val="17"/>
              </w:rPr>
              <w:t>第 1—3 周：数据准备与兼容性审计</w:t>
            </w:r>
          </w:p>
        </w:tc>
        <w:tc>
          <w:tcPr>
            <w:tcW w:type="dxa" w:w="2765"/>
            <w:vAlign w:val="center"/>
          </w:tcPr>
          <w:p>
            <w:pPr>
              <w:spacing w:before="0" w:after="0" w:line="240" w:lineRule="auto"/>
              <w:ind w:firstLine="0"/>
              <w:jc w:val="center"/>
            </w:pPr>
            <w:r>
              <w:rPr>
                <w:rFonts w:ascii="Times New Roman" w:hAnsi="Times New Roman" w:eastAsia="宋体"/>
                <w:b w:val="0"/>
                <w:sz w:val="17"/>
              </w:rPr>
              <w:t>收集并筛选公开 Function Calling 数据；完成去重、切分、字段映射与可解析性检查；审计 tokenizer、消息模板、工具 Schema 和特殊 token；固定 Qwen3-4B 教师与 Qwen3-0.6B 学生版本。</w:t>
            </w:r>
          </w:p>
        </w:tc>
        <w:tc>
          <w:tcPr>
            <w:tcW w:type="dxa" w:w="2765"/>
            <w:vAlign w:val="center"/>
          </w:tcPr>
          <w:p>
            <w:pPr>
              <w:spacing w:before="0" w:after="0" w:line="240" w:lineRule="auto"/>
              <w:ind w:firstLine="0"/>
              <w:jc w:val="center"/>
            </w:pPr>
            <w:r>
              <w:rPr>
                <w:rFonts w:ascii="Times New Roman" w:hAnsi="Times New Roman" w:eastAsia="宋体"/>
                <w:b w:val="0"/>
                <w:sz w:val="17"/>
              </w:rPr>
              <w:t>数据清单、审计报告、统一数据格式与固定版本记录</w:t>
            </w:r>
          </w:p>
        </w:tc>
      </w:tr>
      <w:tr>
        <w:tc>
          <w:tcPr>
            <w:tcW w:type="dxa" w:w="2765"/>
            <w:vAlign w:val="center"/>
          </w:tcPr>
          <w:p>
            <w:pPr>
              <w:spacing w:before="0" w:after="0" w:line="240" w:lineRule="auto"/>
              <w:ind w:firstLine="0"/>
              <w:jc w:val="center"/>
            </w:pPr>
            <w:r>
              <w:rPr>
                <w:rFonts w:ascii="Times New Roman" w:hAnsi="Times New Roman" w:eastAsia="宋体"/>
                <w:b w:val="0"/>
                <w:sz w:val="17"/>
              </w:rPr>
              <w:t>第 4—6 周：训练/推理脚本与模型选型</w:t>
            </w:r>
          </w:p>
        </w:tc>
        <w:tc>
          <w:tcPr>
            <w:tcW w:type="dxa" w:w="2765"/>
            <w:vAlign w:val="center"/>
          </w:tcPr>
          <w:p>
            <w:pPr>
              <w:spacing w:before="0" w:after="0" w:line="240" w:lineRule="auto"/>
              <w:ind w:firstLine="0"/>
              <w:jc w:val="center"/>
            </w:pPr>
            <w:r>
              <w:rPr>
                <w:rFonts w:ascii="Times New Roman" w:hAnsi="Times New Roman" w:eastAsia="宋体"/>
                <w:b w:val="0"/>
                <w:sz w:val="17"/>
              </w:rPr>
              <w:t>搭建 LoRA 训练脚本、学生 rollout、教师评分和统一推理脚本；验证全词表、Top-K、K1 接口；通过小规模试运行确定可行的上下文长度、批大小与精度配置。</w:t>
            </w:r>
          </w:p>
        </w:tc>
        <w:tc>
          <w:tcPr>
            <w:tcW w:type="dxa" w:w="2765"/>
            <w:vAlign w:val="center"/>
          </w:tcPr>
          <w:p>
            <w:pPr>
              <w:spacing w:before="0" w:after="0" w:line="240" w:lineRule="auto"/>
              <w:ind w:firstLine="0"/>
              <w:jc w:val="center"/>
            </w:pPr>
            <w:r>
              <w:rPr>
                <w:rFonts w:ascii="Times New Roman" w:hAnsi="Times New Roman" w:eastAsia="宋体"/>
                <w:b w:val="0"/>
                <w:sz w:val="17"/>
              </w:rPr>
              <w:t>可运行脚本、接口测试、小规模试运行记录与模型配置</w:t>
            </w:r>
          </w:p>
        </w:tc>
      </w:tr>
      <w:tr>
        <w:tc>
          <w:tcPr>
            <w:tcW w:type="dxa" w:w="2765"/>
            <w:vAlign w:val="center"/>
          </w:tcPr>
          <w:p>
            <w:pPr>
              <w:spacing w:before="0" w:after="0" w:line="240" w:lineRule="auto"/>
              <w:ind w:firstLine="0"/>
              <w:jc w:val="center"/>
            </w:pPr>
            <w:r>
              <w:rPr>
                <w:rFonts w:ascii="Times New Roman" w:hAnsi="Times New Roman" w:eastAsia="宋体"/>
                <w:b w:val="0"/>
                <w:sz w:val="17"/>
              </w:rPr>
              <w:t>第 7—11 周：多组合正式训练</w:t>
            </w:r>
          </w:p>
        </w:tc>
        <w:tc>
          <w:tcPr>
            <w:tcW w:type="dxa" w:w="2765"/>
            <w:vAlign w:val="center"/>
          </w:tcPr>
          <w:p>
            <w:pPr>
              <w:spacing w:before="0" w:after="0" w:line="240" w:lineRule="auto"/>
              <w:ind w:firstLine="0"/>
              <w:jc w:val="center"/>
            </w:pPr>
            <w:r>
              <w:rPr>
                <w:rFonts w:ascii="Times New Roman" w:hAnsi="Times New Roman" w:eastAsia="宋体"/>
                <w:b w:val="0"/>
                <w:sz w:val="17"/>
              </w:rPr>
              <w:t>在统一数据、训练预算和生成协议下，开展 Forward KL、Reverse KL、广义散度与全词表、Top-K、K1 监督组合训练；第 9 周前后完成中期检查，提交已跑通流程和阶段性实验记录。</w:t>
            </w:r>
          </w:p>
        </w:tc>
        <w:tc>
          <w:tcPr>
            <w:tcW w:type="dxa" w:w="2765"/>
            <w:vAlign w:val="center"/>
          </w:tcPr>
          <w:p>
            <w:pPr>
              <w:spacing w:before="0" w:after="0" w:line="240" w:lineRule="auto"/>
              <w:ind w:firstLine="0"/>
              <w:jc w:val="center"/>
            </w:pPr>
            <w:r>
              <w:rPr>
                <w:rFonts w:ascii="Times New Roman" w:hAnsi="Times New Roman" w:eastAsia="宋体"/>
                <w:b w:val="0"/>
                <w:sz w:val="17"/>
              </w:rPr>
              <w:t>训练检查点、配置与日志、中期报告、阶段性指标</w:t>
            </w:r>
          </w:p>
        </w:tc>
      </w:tr>
      <w:tr>
        <w:tc>
          <w:tcPr>
            <w:tcW w:type="dxa" w:w="2765"/>
            <w:vAlign w:val="center"/>
          </w:tcPr>
          <w:p>
            <w:pPr>
              <w:spacing w:before="0" w:after="0" w:line="240" w:lineRule="auto"/>
              <w:ind w:firstLine="0"/>
              <w:jc w:val="center"/>
            </w:pPr>
            <w:r>
              <w:rPr>
                <w:rFonts w:ascii="Times New Roman" w:hAnsi="Times New Roman" w:eastAsia="宋体"/>
                <w:b w:val="0"/>
                <w:sz w:val="17"/>
              </w:rPr>
              <w:t>第 12—14 周：测试环境与对比统计</w:t>
            </w:r>
          </w:p>
        </w:tc>
        <w:tc>
          <w:tcPr>
            <w:tcW w:type="dxa" w:w="2765"/>
            <w:vAlign w:val="center"/>
          </w:tcPr>
          <w:p>
            <w:pPr>
              <w:spacing w:before="0" w:after="0" w:line="240" w:lineRule="auto"/>
              <w:ind w:firstLine="0"/>
              <w:jc w:val="center"/>
            </w:pPr>
            <w:r>
              <w:rPr>
                <w:rFonts w:ascii="Times New Roman" w:hAnsi="Times New Roman" w:eastAsia="宋体"/>
                <w:b w:val="0"/>
                <w:sz w:val="17"/>
              </w:rPr>
              <w:t>搭建最小化 Function Calling/Agent 测试环境；执行统一测试、消融与重复实验；统计调用正确性、参数正确性、结构合法率、显存、吞吐和训练耗时。</w:t>
            </w:r>
          </w:p>
        </w:tc>
        <w:tc>
          <w:tcPr>
            <w:tcW w:type="dxa" w:w="2765"/>
            <w:vAlign w:val="center"/>
          </w:tcPr>
          <w:p>
            <w:pPr>
              <w:spacing w:before="0" w:after="0" w:line="240" w:lineRule="auto"/>
              <w:ind w:firstLine="0"/>
              <w:jc w:val="center"/>
            </w:pPr>
            <w:r>
              <w:rPr>
                <w:rFonts w:ascii="Times New Roman" w:hAnsi="Times New Roman" w:eastAsia="宋体"/>
                <w:b w:val="0"/>
                <w:sz w:val="17"/>
              </w:rPr>
              <w:t>原始评测结果、统计表、误差分类与对比图</w:t>
            </w:r>
          </w:p>
        </w:tc>
      </w:tr>
      <w:tr>
        <w:tc>
          <w:tcPr>
            <w:tcW w:type="dxa" w:w="2765"/>
            <w:vAlign w:val="center"/>
          </w:tcPr>
          <w:p>
            <w:pPr>
              <w:spacing w:before="0" w:after="0" w:line="240" w:lineRule="auto"/>
              <w:ind w:firstLine="0"/>
              <w:jc w:val="center"/>
            </w:pPr>
            <w:r>
              <w:rPr>
                <w:rFonts w:ascii="Times New Roman" w:hAnsi="Times New Roman" w:eastAsia="宋体"/>
                <w:b w:val="0"/>
                <w:sz w:val="17"/>
              </w:rPr>
              <w:t>第 15—16 周：结果分析与论文撰写</w:t>
            </w:r>
          </w:p>
        </w:tc>
        <w:tc>
          <w:tcPr>
            <w:tcW w:type="dxa" w:w="2765"/>
            <w:vAlign w:val="center"/>
          </w:tcPr>
          <w:p>
            <w:pPr>
              <w:spacing w:before="0" w:after="0" w:line="240" w:lineRule="auto"/>
              <w:ind w:firstLine="0"/>
              <w:jc w:val="center"/>
            </w:pPr>
            <w:r>
              <w:rPr>
                <w:rFonts w:ascii="Times New Roman" w:hAnsi="Times New Roman" w:eastAsia="宋体"/>
                <w:b w:val="0"/>
                <w:sz w:val="17"/>
              </w:rPr>
              <w:t>完成统计检验、资源—性能权衡分析和失败案例讨论；整理复现材料，撰写并修改毕业论文，准备答辩材料。</w:t>
            </w:r>
          </w:p>
        </w:tc>
        <w:tc>
          <w:tcPr>
            <w:tcW w:type="dxa" w:w="2765"/>
            <w:vAlign w:val="center"/>
          </w:tcPr>
          <w:p>
            <w:pPr>
              <w:spacing w:before="0" w:after="0" w:line="240" w:lineRule="auto"/>
              <w:ind w:firstLine="0"/>
              <w:jc w:val="center"/>
            </w:pPr>
            <w:r>
              <w:rPr>
                <w:rFonts w:ascii="Times New Roman" w:hAnsi="Times New Roman" w:eastAsia="宋体"/>
                <w:b w:val="0"/>
                <w:sz w:val="17"/>
              </w:rPr>
              <w:t>论文定稿、图表、复现说明与答辩材料</w:t>
            </w:r>
          </w:p>
        </w:tc>
      </w:tr>
    </w:tbl>
    <w:p>
      <w:pPr>
        <w:spacing w:after="160"/>
        <w:ind w:firstLine="0"/>
        <w:jc w:val="center"/>
      </w:pPr>
      <w:r>
        <w:drawing>
          <wp:inline xmlns:a="http://schemas.openxmlformats.org/drawingml/2006/main" xmlns:pic="http://schemas.openxmlformats.org/drawingml/2006/picture">
            <wp:extent cx="5806440" cy="2879994"/>
            <wp:docPr id="5" name="Picture 5"/>
            <wp:cNvGraphicFramePr>
              <a:graphicFrameLocks noChangeAspect="1"/>
            </wp:cNvGraphicFramePr>
            <a:graphic>
              <a:graphicData uri="http://schemas.openxmlformats.org/drawingml/2006/picture">
                <pic:pic>
                  <pic:nvPicPr>
                    <pic:cNvPr id="0" name="gantt.png"/>
                    <pic:cNvPicPr/>
                  </pic:nvPicPr>
                  <pic:blipFill>
                    <a:blip r:embed="rId17"/>
                    <a:stretch>
                      <a:fillRect/>
                    </a:stretch>
                  </pic:blipFill>
                  <pic:spPr>
                    <a:xfrm>
                      <a:off x="0" y="0"/>
                      <a:ext cx="5806440" cy="2879994"/>
                    </a:xfrm>
                    <a:prstGeom prst="rect"/>
                  </pic:spPr>
                </pic:pic>
              </a:graphicData>
            </a:graphic>
          </wp:inline>
        </w:drawing>
      </w:r>
    </w:p>
    <w:p>
      <w:pPr>
        <w:spacing w:before="0" w:after="120" w:line="240" w:lineRule="auto"/>
        <w:ind w:firstLine="0"/>
        <w:jc w:val="center"/>
      </w:pPr>
      <w:r/>
      <w:r>
        <w:rPr>
          <w:rFonts w:ascii="Times New Roman" w:hAnsi="Times New Roman" w:eastAsia="宋体"/>
          <w:sz w:val="21"/>
        </w:rPr>
        <w:t>图 3  项目总体进度安排</w:t>
      </w:r>
    </w:p>
    <w:p>
      <w:pPr>
        <w:pStyle w:val="a"/>
        <w:jc w:val="both"/>
        <w:ind w:firstLine="420"/>
      </w:pPr>
      <w:r>
        <w:t>进度安排按照资料调研与数据准备、训练管线实现、对照实验、部署评测、结果分析和论文撰写依次展开。前期完成接口与短流程验证，中期开展统一配置下的正式实验，后期集中进行误差分析和论文整理。</w:t>
      </w:r>
    </w:p>
    <w:p>
      <w:pPr>
        <w:pStyle w:val="2"/>
      </w:pPr>
      <w:r>
        <w:rPr>
          <w:rFonts w:ascii="SimHei" w:hAnsi="SimHei" w:eastAsia="黑体" w:cs="SimHei"/>
          <w:b/>
          <w:color w:val="000000"/>
          <w:sz w:val="24"/>
        </w:rPr>
        <w:t>5.2 预期达到的目标</w:t>
      </w:r>
    </w:p>
    <w:p>
      <w:pPr>
        <w:pStyle w:val="a8"/>
        <w:jc w:val="left"/>
        <w:ind w:firstLine="420"/>
      </w:pPr>
      <w:r>
        <w:t>1. 完成 Qwen3-0.6B 学生的 LoRA 在线策略蒸馏研究流程，使用冻结的 Qwen3-4B 作为教师。</w:t>
      </w:r>
    </w:p>
    <w:p>
      <w:pPr>
        <w:pStyle w:val="a8"/>
        <w:jc w:val="left"/>
        <w:ind w:firstLine="420"/>
      </w:pPr>
      <w:r>
        <w:t>2. 在公开 Function Calling 数据上比较 Forward KL、Reverse KL、广义散度，以及全词表、Top-K、K1 sampled-token。</w:t>
      </w:r>
    </w:p>
    <w:p>
      <w:pPr>
        <w:pStyle w:val="a8"/>
        <w:jc w:val="left"/>
        <w:ind w:firstLine="420"/>
      </w:pPr>
      <w:r>
        <w:t>3. 建立分层评测方法，分别分析格式、函数选择、参数生成、调用执行和端到端任务完成情况。</w:t>
      </w:r>
    </w:p>
    <w:p>
      <w:pPr>
        <w:pStyle w:val="a8"/>
        <w:jc w:val="left"/>
        <w:ind w:firstLine="420"/>
      </w:pPr>
      <w:r>
        <w:t>4. 记录不同方法的训练稳定性、教师反馈量、训练资源和部署表现。</w:t>
      </w:r>
    </w:p>
    <w:p>
      <w:pPr>
        <w:pStyle w:val="a8"/>
        <w:jc w:val="left"/>
        <w:ind w:firstLine="420"/>
      </w:pPr>
      <w:r>
        <w:t>5. 通过 vLLM 或自建测试程序完成最终模型验证，形成任务性能、训练资源和推理性能的对比结果。</w:t>
      </w:r>
    </w:p>
    <w:p>
      <w:pPr>
        <w:pStyle w:val="a8"/>
        <w:jc w:val="left"/>
        <w:ind w:firstLine="420"/>
      </w:pPr>
      <w:r>
        <w:t>6. 形成中文项目文档、实验记录、毕业论文和答辩材料。</w:t>
      </w:r>
    </w:p>
    <w:p>
      <w:pPr>
        <w:pStyle w:val="a"/>
        <w:jc w:val="both"/>
        <w:ind w:firstLine="420"/>
      </w:pPr>
      <w:r>
        <w:t>本课题的预期成果包括一套定义清晰的 OPD 方法与训练流程、一份公开数据和模型版本记录、一组能够解释方法差异的实验指标，以及一个可重复调用的最终测试流程。</w:t>
      </w:r>
    </w:p>
    <w:p>
      <w:pPr>
        <w:pStyle w:val="1"/>
      </w:pPr>
      <w:r>
        <w:rPr>
          <w:rFonts w:ascii="SimHei" w:hAnsi="SimHei" w:eastAsia="黑体" w:cs="SimHei"/>
          <w:b/>
          <w:color w:val="000000"/>
          <w:sz w:val="28"/>
        </w:rPr>
        <w:t>6．课题已具备和所需的条件、经费</w:t>
      </w:r>
    </w:p>
    <w:p>
      <w:pPr>
        <w:pStyle w:val="2"/>
      </w:pPr>
      <w:r>
        <w:rPr>
          <w:rFonts w:ascii="SimHei" w:hAnsi="SimHei" w:eastAsia="黑体" w:cs="SimHei"/>
          <w:b/>
          <w:color w:val="000000"/>
          <w:sz w:val="24"/>
        </w:rPr>
        <w:t>6.1 已具备条件</w:t>
      </w:r>
    </w:p>
    <w:p>
      <w:pPr>
        <w:pStyle w:val="a"/>
        <w:jc w:val="both"/>
        <w:ind w:firstLine="420"/>
      </w:pPr>
      <w:r>
        <w:t>目前已具备明确的研究方向、模型组合、LoRA 后训练路线和公开 Function Calling 应用领域，并完成相关文献与模型资料调研。PyTorch、Transformers、PEFT、Datasets 和 vLLM 等开源工具能够支持后续数据处理、模型训练和部署评测。</w:t>
      </w:r>
    </w:p>
    <w:p>
      <w:pPr>
        <w:pStyle w:val="2"/>
      </w:pPr>
      <w:r>
        <w:rPr>
          <w:rFonts w:ascii="SimHei" w:hAnsi="SimHei" w:eastAsia="黑体" w:cs="SimHei"/>
          <w:b/>
          <w:color w:val="000000"/>
          <w:sz w:val="24"/>
        </w:rPr>
        <w:t>6.2 所需条件</w:t>
      </w:r>
    </w:p>
    <w:p>
      <w:pPr>
        <w:pStyle w:val="a"/>
        <w:jc w:val="both"/>
        <w:ind w:firstLine="420"/>
      </w:pPr>
      <w:r>
        <w:t>软件环境包括 Python、PyTorch、Transformers、PEFT、Datasets 和 vLLM，硬件环境需支持 Qwen3-4B 教师推理、Qwen3-0.6B 学生 rollout 和 LoRA 更新。实验将根据可用显存配置序列长度、批量大小、梯度累积、混合精度和教师输出缓存。</w:t>
      </w:r>
    </w:p>
    <w:p>
      <w:pPr>
        <w:pStyle w:val="2"/>
      </w:pPr>
      <w:r>
        <w:rPr>
          <w:rFonts w:ascii="SimHei" w:hAnsi="SimHei" w:eastAsia="黑体" w:cs="SimHei"/>
          <w:b/>
          <w:color w:val="000000"/>
          <w:sz w:val="24"/>
        </w:rPr>
        <w:t>6.3 经费</w:t>
      </w:r>
    </w:p>
    <w:p>
      <w:pPr>
        <w:jc w:val="both"/>
        <w:spacing w:line="360" w:lineRule="auto" w:before="0" w:after="0"/>
        <w:ind w:firstLine="420"/>
      </w:pPr>
      <w:r>
        <w:rPr>
          <w:rFonts w:ascii="Times New Roman" w:hAnsi="Times New Roman" w:eastAsia="宋体"/>
          <w:sz w:val="24"/>
        </w:rPr>
        <w:t>本课题的经费以 GPU 算力租赁为主，用于 Qwen3-4B 教师模型在线评分、Qwen3-0.6B 学生模型 rollout 与 LoRA 训练，以及多组对照实验和重复实验。经费按计划上限编制，实际支出根据 GPU 实例类型、有效运行时长和存储用量据实结算。</w:t>
      </w:r>
    </w:p>
    <w:p>
      <w:pPr>
        <w:jc w:val="both"/>
        <w:spacing w:line="360" w:lineRule="auto" w:before="0" w:after="0"/>
        <w:ind w:firstLine="420"/>
      </w:pPr>
      <w:r>
        <w:rPr>
          <w:rFonts w:ascii="Times New Roman" w:hAnsi="Times New Roman" w:eastAsia="宋体"/>
          <w:sz w:val="24"/>
        </w:rPr>
        <w:t>为减少无效支出，先在小规模数据上完成 tokenizer、模板、Schema 和损失实现审计，再启动正式训练；实验统一记录 GPU 型号、计费时长、失败重跑原因和有效训练时长，使资源消耗能够与性能收益对应分析。</w:t>
      </w:r>
    </w:p>
    <w:p>
      <w:pPr>
        <w:spacing w:before="0" w:after="120" w:line="240" w:lineRule="auto"/>
        <w:ind w:firstLine="0"/>
        <w:jc w:val="center"/>
      </w:pPr>
      <w:r/>
      <w:r>
        <w:rPr>
          <w:rFonts w:ascii="Times New Roman" w:hAnsi="Times New Roman" w:eastAsia="宋体"/>
          <w:sz w:val="21"/>
        </w:rPr>
        <w:t>表 6-1  经费预算</w:t>
      </w:r>
    </w:p>
    <w:tbl>
      <w:tblPr>
        <w:tblStyle w:val="a9"/>
        <w:tblW w:type="auto" w:w="0"/>
        <w:jc w:val="center"/>
        <w:tblLook w:firstColumn="1" w:firstRow="1" w:lastColumn="0" w:lastRow="0" w:noHBand="0" w:noVBand="1" w:val="04A0"/>
      </w:tblPr>
      <w:tblGrid>
        <w:gridCol w:w="2076"/>
        <w:gridCol w:w="2076"/>
        <w:gridCol w:w="2076"/>
        <w:gridCol w:w="2076"/>
      </w:tblGrid>
      <w:tr>
        <w:tc>
          <w:tcPr>
            <w:tcW w:type="dxa" w:w="2076"/>
            <w:vAlign w:val="center"/>
          </w:tcPr>
          <w:p>
            <w:pPr>
              <w:spacing w:before="0" w:after="0" w:line="240" w:lineRule="auto"/>
              <w:ind w:firstLine="0"/>
              <w:jc w:val="center"/>
            </w:pPr>
            <w:r>
              <w:rPr>
                <w:rFonts w:ascii="Times New Roman" w:hAnsi="Times New Roman" w:eastAsia="宋体"/>
                <w:b/>
                <w:sz w:val="17"/>
              </w:rPr>
              <w:t>经费项目</w:t>
            </w:r>
          </w:p>
        </w:tc>
        <w:tc>
          <w:tcPr>
            <w:tcW w:type="dxa" w:w="2076"/>
            <w:vAlign w:val="center"/>
          </w:tcPr>
          <w:p>
            <w:pPr>
              <w:spacing w:before="0" w:after="0" w:line="240" w:lineRule="auto"/>
              <w:ind w:firstLine="0"/>
              <w:jc w:val="center"/>
            </w:pPr>
            <w:r>
              <w:rPr>
                <w:rFonts w:ascii="Times New Roman" w:hAnsi="Times New Roman" w:eastAsia="宋体"/>
                <w:b/>
                <w:sz w:val="17"/>
              </w:rPr>
              <w:t>预算金额（元）</w:t>
            </w:r>
          </w:p>
        </w:tc>
        <w:tc>
          <w:tcPr>
            <w:tcW w:type="dxa" w:w="2076"/>
            <w:vAlign w:val="center"/>
          </w:tcPr>
          <w:p>
            <w:pPr>
              <w:spacing w:before="0" w:after="0" w:line="240" w:lineRule="auto"/>
              <w:ind w:firstLine="0"/>
              <w:jc w:val="center"/>
            </w:pPr>
            <w:r>
              <w:rPr>
                <w:rFonts w:ascii="Times New Roman" w:hAnsi="Times New Roman" w:eastAsia="宋体"/>
                <w:b/>
                <w:sz w:val="17"/>
              </w:rPr>
              <w:t>主要用途</w:t>
            </w:r>
          </w:p>
        </w:tc>
        <w:tc>
          <w:tcPr>
            <w:tcW w:type="dxa" w:w="2076"/>
            <w:vAlign w:val="center"/>
          </w:tcPr>
          <w:p>
            <w:pPr>
              <w:spacing w:before="0" w:after="0" w:line="240" w:lineRule="auto"/>
              <w:ind w:firstLine="0"/>
              <w:jc w:val="center"/>
            </w:pPr>
            <w:r>
              <w:rPr>
                <w:rFonts w:ascii="Times New Roman" w:hAnsi="Times New Roman" w:eastAsia="宋体"/>
                <w:b/>
                <w:sz w:val="17"/>
              </w:rPr>
              <w:t>控制方式</w:t>
            </w:r>
          </w:p>
        </w:tc>
      </w:tr>
      <w:tr>
        <w:tc>
          <w:tcPr>
            <w:tcW w:type="dxa" w:w="2076"/>
            <w:vAlign w:val="center"/>
          </w:tcPr>
          <w:p>
            <w:pPr>
              <w:spacing w:before="0" w:after="0" w:line="240" w:lineRule="auto"/>
              <w:ind w:firstLine="0"/>
              <w:jc w:val="center"/>
            </w:pPr>
            <w:r>
              <w:rPr>
                <w:rFonts w:ascii="Times New Roman" w:hAnsi="Times New Roman" w:eastAsia="宋体"/>
                <w:b w:val="0"/>
                <w:sz w:val="17"/>
              </w:rPr>
              <w:t>GPU 算力租赁</w:t>
            </w:r>
          </w:p>
        </w:tc>
        <w:tc>
          <w:tcPr>
            <w:tcW w:type="dxa" w:w="2076"/>
            <w:vAlign w:val="center"/>
          </w:tcPr>
          <w:p>
            <w:pPr>
              <w:spacing w:before="0" w:after="0" w:line="240" w:lineRule="auto"/>
              <w:ind w:firstLine="0"/>
              <w:jc w:val="center"/>
            </w:pPr>
            <w:r>
              <w:rPr>
                <w:rFonts w:ascii="Times New Roman" w:hAnsi="Times New Roman" w:eastAsia="宋体"/>
                <w:b w:val="0"/>
                <w:sz w:val="17"/>
              </w:rPr>
              <w:t>4500</w:t>
            </w:r>
          </w:p>
        </w:tc>
        <w:tc>
          <w:tcPr>
            <w:tcW w:type="dxa" w:w="2076"/>
            <w:vAlign w:val="center"/>
          </w:tcPr>
          <w:p>
            <w:pPr>
              <w:spacing w:before="0" w:after="0" w:line="240" w:lineRule="auto"/>
              <w:ind w:firstLine="0"/>
              <w:jc w:val="center"/>
            </w:pPr>
            <w:r>
              <w:rPr>
                <w:rFonts w:ascii="Times New Roman" w:hAnsi="Times New Roman" w:eastAsia="宋体"/>
                <w:b w:val="0"/>
                <w:sz w:val="17"/>
              </w:rPr>
              <w:t>教师在线推理、学生 rollout、LoRA 训练、多组合对照和必要重复实验</w:t>
            </w:r>
          </w:p>
        </w:tc>
        <w:tc>
          <w:tcPr>
            <w:tcW w:type="dxa" w:w="2076"/>
            <w:vAlign w:val="center"/>
          </w:tcPr>
          <w:p>
            <w:pPr>
              <w:spacing w:before="0" w:after="0" w:line="240" w:lineRule="auto"/>
              <w:ind w:firstLine="0"/>
              <w:jc w:val="center"/>
            </w:pPr>
            <w:r>
              <w:rPr>
                <w:rFonts w:ascii="Times New Roman" w:hAnsi="Times New Roman" w:eastAsia="宋体"/>
                <w:b w:val="0"/>
                <w:sz w:val="17"/>
              </w:rPr>
              <w:t>按小时计费；先小规模验证，再申请正式训练时长</w:t>
            </w:r>
          </w:p>
        </w:tc>
      </w:tr>
      <w:tr>
        <w:tc>
          <w:tcPr>
            <w:tcW w:type="dxa" w:w="2076"/>
            <w:vAlign w:val="center"/>
          </w:tcPr>
          <w:p>
            <w:pPr>
              <w:spacing w:before="0" w:after="0" w:line="240" w:lineRule="auto"/>
              <w:ind w:firstLine="0"/>
              <w:jc w:val="center"/>
            </w:pPr>
            <w:r>
              <w:rPr>
                <w:rFonts w:ascii="Times New Roman" w:hAnsi="Times New Roman" w:eastAsia="宋体"/>
                <w:b w:val="0"/>
                <w:sz w:val="17"/>
              </w:rPr>
              <w:t>云存储与数据传输</w:t>
            </w:r>
          </w:p>
        </w:tc>
        <w:tc>
          <w:tcPr>
            <w:tcW w:type="dxa" w:w="2076"/>
            <w:vAlign w:val="center"/>
          </w:tcPr>
          <w:p>
            <w:pPr>
              <w:spacing w:before="0" w:after="0" w:line="240" w:lineRule="auto"/>
              <w:ind w:firstLine="0"/>
              <w:jc w:val="center"/>
            </w:pPr>
            <w:r>
              <w:rPr>
                <w:rFonts w:ascii="Times New Roman" w:hAnsi="Times New Roman" w:eastAsia="宋体"/>
                <w:b w:val="0"/>
                <w:sz w:val="17"/>
              </w:rPr>
              <w:t>300</w:t>
            </w:r>
          </w:p>
        </w:tc>
        <w:tc>
          <w:tcPr>
            <w:tcW w:type="dxa" w:w="2076"/>
            <w:vAlign w:val="center"/>
          </w:tcPr>
          <w:p>
            <w:pPr>
              <w:spacing w:before="0" w:after="0" w:line="240" w:lineRule="auto"/>
              <w:ind w:firstLine="0"/>
              <w:jc w:val="center"/>
            </w:pPr>
            <w:r>
              <w:rPr>
                <w:rFonts w:ascii="Times New Roman" w:hAnsi="Times New Roman" w:eastAsia="宋体"/>
                <w:b w:val="0"/>
                <w:sz w:val="17"/>
              </w:rPr>
              <w:t>数据版本、日志、检查点和评测结果的阶段性存储与备份</w:t>
            </w:r>
          </w:p>
        </w:tc>
        <w:tc>
          <w:tcPr>
            <w:tcW w:type="dxa" w:w="2076"/>
            <w:vAlign w:val="center"/>
          </w:tcPr>
          <w:p>
            <w:pPr>
              <w:spacing w:before="0" w:after="0" w:line="240" w:lineRule="auto"/>
              <w:ind w:firstLine="0"/>
              <w:jc w:val="center"/>
            </w:pPr>
            <w:r>
              <w:rPr>
                <w:rFonts w:ascii="Times New Roman" w:hAnsi="Times New Roman" w:eastAsia="宋体"/>
                <w:b w:val="0"/>
                <w:sz w:val="17"/>
              </w:rPr>
              <w:t>只保留可复现所需版本，定期归档</w:t>
            </w:r>
          </w:p>
        </w:tc>
      </w:tr>
      <w:tr>
        <w:tc>
          <w:tcPr>
            <w:tcW w:type="dxa" w:w="2076"/>
            <w:vAlign w:val="center"/>
          </w:tcPr>
          <w:p>
            <w:pPr>
              <w:spacing w:before="0" w:after="0" w:line="240" w:lineRule="auto"/>
              <w:ind w:firstLine="0"/>
              <w:jc w:val="center"/>
            </w:pPr>
            <w:r>
              <w:rPr>
                <w:rFonts w:ascii="Times New Roman" w:hAnsi="Times New Roman" w:eastAsia="宋体"/>
                <w:b w:val="0"/>
                <w:sz w:val="17"/>
              </w:rPr>
              <w:t>论文打印与装订</w:t>
            </w:r>
          </w:p>
        </w:tc>
        <w:tc>
          <w:tcPr>
            <w:tcW w:type="dxa" w:w="2076"/>
            <w:vAlign w:val="center"/>
          </w:tcPr>
          <w:p>
            <w:pPr>
              <w:spacing w:before="0" w:after="0" w:line="240" w:lineRule="auto"/>
              <w:ind w:firstLine="0"/>
              <w:jc w:val="center"/>
            </w:pPr>
            <w:r>
              <w:rPr>
                <w:rFonts w:ascii="Times New Roman" w:hAnsi="Times New Roman" w:eastAsia="宋体"/>
                <w:b w:val="0"/>
                <w:sz w:val="17"/>
              </w:rPr>
              <w:t>200</w:t>
            </w:r>
          </w:p>
        </w:tc>
        <w:tc>
          <w:tcPr>
            <w:tcW w:type="dxa" w:w="2076"/>
            <w:vAlign w:val="center"/>
          </w:tcPr>
          <w:p>
            <w:pPr>
              <w:spacing w:before="0" w:after="0" w:line="240" w:lineRule="auto"/>
              <w:ind w:firstLine="0"/>
              <w:jc w:val="center"/>
            </w:pPr>
            <w:r>
              <w:rPr>
                <w:rFonts w:ascii="Times New Roman" w:hAnsi="Times New Roman" w:eastAsia="宋体"/>
                <w:b w:val="0"/>
                <w:sz w:val="17"/>
              </w:rPr>
              <w:t>开题、中期、论文与答辩材料制作</w:t>
            </w:r>
          </w:p>
        </w:tc>
        <w:tc>
          <w:tcPr>
            <w:tcW w:type="dxa" w:w="2076"/>
            <w:vAlign w:val="center"/>
          </w:tcPr>
          <w:p>
            <w:pPr>
              <w:spacing w:before="0" w:after="0" w:line="240" w:lineRule="auto"/>
              <w:ind w:firstLine="0"/>
              <w:jc w:val="center"/>
            </w:pPr>
            <w:r>
              <w:rPr>
                <w:rFonts w:ascii="Times New Roman" w:hAnsi="Times New Roman" w:eastAsia="宋体"/>
                <w:b w:val="0"/>
                <w:sz w:val="17"/>
              </w:rPr>
              <w:t>按学校要求据实支出</w:t>
            </w:r>
          </w:p>
        </w:tc>
      </w:tr>
      <w:tr>
        <w:tc>
          <w:tcPr>
            <w:tcW w:type="dxa" w:w="2076"/>
            <w:vAlign w:val="center"/>
          </w:tcPr>
          <w:p>
            <w:pPr>
              <w:spacing w:before="0" w:after="0" w:line="240" w:lineRule="auto"/>
              <w:ind w:firstLine="0"/>
              <w:jc w:val="center"/>
            </w:pPr>
            <w:r>
              <w:rPr>
                <w:rFonts w:ascii="Times New Roman" w:hAnsi="Times New Roman" w:eastAsia="宋体"/>
                <w:b w:val="0"/>
                <w:sz w:val="17"/>
              </w:rPr>
              <w:t>合计</w:t>
            </w:r>
          </w:p>
        </w:tc>
        <w:tc>
          <w:tcPr>
            <w:tcW w:type="dxa" w:w="2076"/>
            <w:vAlign w:val="center"/>
          </w:tcPr>
          <w:p>
            <w:pPr>
              <w:spacing w:before="0" w:after="0" w:line="240" w:lineRule="auto"/>
              <w:ind w:firstLine="0"/>
              <w:jc w:val="center"/>
            </w:pPr>
            <w:r>
              <w:rPr>
                <w:rFonts w:ascii="Times New Roman" w:hAnsi="Times New Roman" w:eastAsia="宋体"/>
                <w:b w:val="0"/>
                <w:sz w:val="17"/>
              </w:rPr>
              <w:t>5000</w:t>
            </w:r>
          </w:p>
        </w:tc>
        <w:tc>
          <w:tcPr>
            <w:tcW w:type="dxa" w:w="2076"/>
            <w:vAlign w:val="center"/>
          </w:tcPr>
          <w:p>
            <w:pPr>
              <w:spacing w:before="0" w:after="0" w:line="240" w:lineRule="auto"/>
              <w:ind w:firstLine="0"/>
              <w:jc w:val="center"/>
            </w:pPr>
            <w:r>
              <w:rPr>
                <w:rFonts w:ascii="Times New Roman" w:hAnsi="Times New Roman" w:eastAsia="宋体"/>
                <w:b w:val="0"/>
                <w:sz w:val="17"/>
              </w:rPr>
              <w:t>以算力租赁为主要支出</w:t>
            </w:r>
          </w:p>
        </w:tc>
        <w:tc>
          <w:tcPr>
            <w:tcW w:type="dxa" w:w="2076"/>
            <w:vAlign w:val="center"/>
          </w:tcPr>
          <w:p>
            <w:pPr>
              <w:spacing w:before="0" w:after="0" w:line="240" w:lineRule="auto"/>
              <w:ind w:firstLine="0"/>
              <w:jc w:val="center"/>
            </w:pPr>
            <w:r>
              <w:rPr>
                <w:rFonts w:ascii="Times New Roman" w:hAnsi="Times New Roman" w:eastAsia="宋体"/>
                <w:b w:val="0"/>
                <w:sz w:val="17"/>
              </w:rPr>
              <w:t>预算上限，实际费用据实结算</w:t>
            </w:r>
          </w:p>
        </w:tc>
      </w:tr>
    </w:tbl>
    <w:p>
      <w:pPr>
        <w:pStyle w:val="1"/>
      </w:pPr>
      <w:r>
        <w:rPr>
          <w:rFonts w:ascii="SimHei" w:hAnsi="SimHei" w:eastAsia="黑体" w:cs="SimHei"/>
          <w:b/>
          <w:color w:val="000000"/>
          <w:sz w:val="28"/>
        </w:rPr>
        <w:t>7．研究过程中可能遇到的困难和问题，解决的措施</w:t>
      </w:r>
    </w:p>
    <w:p>
      <w:pPr>
        <w:pStyle w:val="a"/>
        <w:jc w:val="both"/>
        <w:ind w:firstLine="420"/>
      </w:pPr>
      <w:r>
        <w:t>Function Calling 数据的来源、字段质量和测试集泄漏需要核验；模型模板或 tokenizer 不一致会影响 token 级蒸馏；全词表教师反馈会增加显存和计算开销；Top-K 和 K1 估计可能出现方差、熵坍缩和 loss 尖峰；不同推理后端还会影响吞吐、延迟和显存测量。</w:t>
      </w:r>
    </w:p>
    <w:p>
      <w:pPr>
        <w:pStyle w:val="a"/>
        <w:jc w:val="both"/>
        <w:ind w:firstLine="420"/>
      </w:pPr>
      <w:r>
        <w:t>针对上述问题，在训练前完成数据、模型和模板审计；在统一预算下记录教师反馈量、学生 rollout 和资源指标；为三类监督方案规定支持集、采样与 Mask 协议；保存异常 loss、非法结构和失败工具调用的可追溯样本；使用分层指标区分解析、选择、参数和执行错误；在通过兼容性验证的后端上完成部署评测。</w:t>
      </w:r>
    </w:p>
    <w:p>
      <w:pPr>
        <w:pStyle w:val="a"/>
        <w:jc w:val="both"/>
        <w:ind w:firstLine="420"/>
      </w:pPr>
      <w:r>
        <w:t>困难分析分为三类：数据与接口问题，包括 schema 错误、模板不匹配和测试泄漏；蒸馏估计问题，包括支持集截断、K1 方差和散度数值不稳定；训练与推理性能问题，包括教师前向开销、全词表 logits 显存、LoRA 更新效率和后端加载差异。实验日志按照上述类别记录问题，使算法效果与系统性能能够分别分析。</w:t>
      </w:r>
    </w:p>
    <w:p>
      <w:pPr>
        <w:pStyle w:val="1"/>
      </w:pPr>
      <w:r>
        <w:rPr>
          <w:rFonts w:ascii="SimHei" w:hAnsi="SimHei" w:eastAsia="黑体" w:cs="SimHei"/>
          <w:b/>
          <w:color w:val="000000"/>
          <w:sz w:val="28"/>
        </w:rPr>
        <w:t>8．主要参考文献</w:t>
      </w:r>
    </w:p>
    <w:p>
      <w:pPr>
        <w:pStyle w:val="a8"/>
        <w:jc w:val="left"/>
        <w:ind w:firstLine="420"/>
        <w:numPr>
          <w:ilvl w:val="0"/>
          <w:numId w:val="2"/>
        </w:numPr>
      </w:pPr>
      <w:r>
        <w:t>Hinton G, Vinyals O, Dean J. Distilling the Knowledge in a Neural Network[EB/OL]. arXiv:1503.02531, 2015.</w:t>
      </w:r>
    </w:p>
    <w:p>
      <w:pPr>
        <w:pStyle w:val="a8"/>
        <w:jc w:val="left"/>
        <w:ind w:firstLine="420"/>
        <w:numPr>
          <w:ilvl w:val="0"/>
          <w:numId w:val="2"/>
        </w:numPr>
      </w:pPr>
      <w:r>
        <w:t>Kim Y, Rush A M. Sequence-Level Knowledge Distillation[C]//Proceedings of the 2016 Conference on Empirical Methods in Natural Language Processing. ACL, 2016: 1317-1327. DOI:10.18653/v1/D16-1139.</w:t>
      </w:r>
    </w:p>
    <w:p>
      <w:pPr>
        <w:pStyle w:val="a8"/>
        <w:jc w:val="left"/>
        <w:ind w:firstLine="420"/>
        <w:numPr>
          <w:ilvl w:val="0"/>
          <w:numId w:val="2"/>
        </w:numPr>
      </w:pPr>
      <w:r>
        <w:t>Ross S, Gordon G J, Bagnell J A. A Reduction of Imitation Learning and Structured Prediction to No-Regret Online Learning[C]//Proceedings of the Fourteenth International Conference on Artificial Intelligence and Statistics. PMLR, 2011, 15: 627-635.</w:t>
      </w:r>
    </w:p>
    <w:p>
      <w:pPr>
        <w:pStyle w:val="a8"/>
        <w:jc w:val="left"/>
        <w:ind w:firstLine="420"/>
        <w:numPr>
          <w:ilvl w:val="0"/>
          <w:numId w:val="2"/>
        </w:numPr>
      </w:pPr>
      <w:r>
        <w:t>Lin A, Wohlwend J, Chen H, et al. Autoregressive Knowledge Distillation through Imitation Learning[C]//Proceedings of the 2020 Conference on Empirical Methods in Natural Language Processing. ACL, 2020: 6121-6133. DOI:10.18653/v1/2020.emnlp-main.494.</w:t>
      </w:r>
    </w:p>
    <w:p>
      <w:pPr>
        <w:pStyle w:val="a8"/>
        <w:jc w:val="left"/>
        <w:ind w:firstLine="420"/>
        <w:numPr>
          <w:ilvl w:val="0"/>
          <w:numId w:val="2"/>
        </w:numPr>
      </w:pPr>
      <w:r>
        <w:t>Huszár F. How (not) to Train your Generative Model: Scheduled Sampling, Likelihood, Adversary?[EB/OL]. arXiv:1511.05101, 2015.</w:t>
      </w:r>
    </w:p>
    <w:p>
      <w:pPr>
        <w:pStyle w:val="a8"/>
        <w:jc w:val="left"/>
        <w:ind w:firstLine="420"/>
        <w:numPr>
          <w:ilvl w:val="0"/>
          <w:numId w:val="2"/>
        </w:numPr>
      </w:pPr>
      <w:r>
        <w:t>Wen Y, Li Z, Du W, et al. f-Divergence Minimization for Sequence-Level Knowledge Distillation[C]//Proceedings of the 61st Annual Meeting of the Association for Computational Linguistics. ACL, 2023: 10817-10834. DOI:10.18653/v1/2023.acl-long.605.</w:t>
      </w:r>
    </w:p>
    <w:p>
      <w:pPr>
        <w:pStyle w:val="a8"/>
        <w:jc w:val="left"/>
        <w:ind w:firstLine="420"/>
        <w:numPr>
          <w:ilvl w:val="0"/>
          <w:numId w:val="2"/>
        </w:numPr>
      </w:pPr>
      <w:r>
        <w:t>Agarwal R, Vieillard N, Zhou Y, et al. On-Policy Distillation of Language Models: Learning from Self-Generated Mistakes[C]//International Conference on Learning Representations. 2024. arXiv:2306.13649.</w:t>
      </w:r>
    </w:p>
    <w:p>
      <w:pPr>
        <w:pStyle w:val="a8"/>
        <w:jc w:val="left"/>
        <w:ind w:firstLine="420"/>
        <w:numPr>
          <w:ilvl w:val="0"/>
          <w:numId w:val="2"/>
        </w:numPr>
      </w:pPr>
      <w:r>
        <w:t>Gu Y, Dong L, Wei F, et al. MiniLLM: Knowledge Distillation of Large Language Models[C]//International Conference on Learning Representations. 2024. arXiv:2306.08543.</w:t>
      </w:r>
    </w:p>
    <w:p>
      <w:pPr>
        <w:pStyle w:val="a8"/>
        <w:jc w:val="left"/>
        <w:ind w:firstLine="420"/>
        <w:numPr>
          <w:ilvl w:val="0"/>
          <w:numId w:val="2"/>
        </w:numPr>
      </w:pPr>
      <w:r>
        <w:t>Ko J, Kim S, Chen T, et al. DistiLLM: Towards Streamlined Distillation for Large Language Models[C]//Proceedings of the 41st International Conference on Machine Learning. PMLR, 2024, 235: 24872-24895.</w:t>
      </w:r>
    </w:p>
    <w:p>
      <w:pPr>
        <w:pStyle w:val="a8"/>
        <w:jc w:val="left"/>
        <w:ind w:firstLine="420"/>
        <w:numPr>
          <w:ilvl w:val="0"/>
          <w:numId w:val="2"/>
        </w:numPr>
      </w:pPr>
      <w:r>
        <w:t>Lu K, Thinking Machines Lab. On-Policy Distillation[EB/OL]. Thinking Machines Lab: Connectionism, 2025（技术博客）. DOI:10.64434/tml.20251026.</w:t>
      </w:r>
    </w:p>
    <w:p>
      <w:pPr>
        <w:pStyle w:val="a8"/>
        <w:jc w:val="left"/>
        <w:ind w:firstLine="420"/>
        <w:numPr>
          <w:ilvl w:val="0"/>
          <w:numId w:val="2"/>
        </w:numPr>
      </w:pPr>
      <w:r>
        <w:t>Li Y, Zuo Y, He B, et al. Rethinking On-Policy Distillation of Large Language Models: Phenomenology, Mechanism, and Recipe[EB/OL]. arXiv:2604.13016v2, 2026. DOI:10.48550/arXiv.2604.13016.</w:t>
      </w:r>
    </w:p>
    <w:p>
      <w:pPr>
        <w:pStyle w:val="a8"/>
        <w:jc w:val="left"/>
        <w:ind w:firstLine="420"/>
        <w:numPr>
          <w:ilvl w:val="0"/>
          <w:numId w:val="2"/>
        </w:numPr>
      </w:pPr>
      <w:r>
        <w:t>Fu Z, He B, Zuo Y, et al. Rethinking On-Policy Distillation of Large Language Models II: One Training Example[EB/OL]. arXiv:2609.04172v1, 2026. DOI:10.48550/arXiv.2609.04172.</w:t>
      </w:r>
    </w:p>
    <w:p>
      <w:pPr>
        <w:pStyle w:val="a8"/>
        <w:jc w:val="left"/>
        <w:ind w:firstLine="420"/>
        <w:numPr>
          <w:ilvl w:val="0"/>
          <w:numId w:val="2"/>
        </w:numPr>
      </w:pPr>
      <w:r>
        <w:t>Fu Y, Huang H, Jiang K, et al. Revisiting On-Policy Distillation: Empirical Failure Modes and Simple Fixes[EB/OL]. arXiv:2603.25562v2, 2026. DOI:10.48550/arXiv.2603.25562.</w:t>
      </w:r>
    </w:p>
    <w:p>
      <w:pPr>
        <w:pStyle w:val="a8"/>
        <w:jc w:val="left"/>
        <w:ind w:firstLine="420"/>
        <w:numPr>
          <w:ilvl w:val="0"/>
          <w:numId w:val="2"/>
        </w:numPr>
      </w:pPr>
      <w:r>
        <w:t>Zhu W, Xie R, Wang R, et al. Hybrid Policy Distillation for LLMs[EB/OL]. arXiv:2604.20244v2, 2026. DOI:10.48550/arXiv.2604.20244.</w:t>
      </w:r>
    </w:p>
    <w:p>
      <w:pPr>
        <w:pStyle w:val="a8"/>
        <w:jc w:val="left"/>
        <w:ind w:firstLine="420"/>
        <w:numPr>
          <w:ilvl w:val="0"/>
          <w:numId w:val="2"/>
        </w:numPr>
      </w:pPr>
      <w:r>
        <w:t>Song M, Zheng M. A Survey of On-Policy Distillation for Large Language Models[EB/OL]. arXiv:2604.00626v4, 2026. DOI:10.48550/arXiv.2604.00626.</w:t>
      </w:r>
    </w:p>
    <w:p>
      <w:pPr>
        <w:pStyle w:val="a8"/>
        <w:jc w:val="left"/>
        <w:ind w:firstLine="420"/>
        <w:numPr>
          <w:ilvl w:val="0"/>
          <w:numId w:val="2"/>
        </w:numPr>
      </w:pPr>
      <w:r>
        <w:t>Qwen Team. Qwen3 Technical Report[EB/OL]. arXiv:2505.09388, 2025. DOI:10.48550/arXiv.2505.09388.</w:t>
      </w:r>
    </w:p>
    <w:p>
      <w:pPr>
        <w:pStyle w:val="a8"/>
        <w:jc w:val="left"/>
        <w:ind w:firstLine="420"/>
        <w:numPr>
          <w:ilvl w:val="0"/>
          <w:numId w:val="2"/>
        </w:numPr>
      </w:pPr>
      <w:r>
        <w:t>Kullback S, Leibler R A. On Information and Sufficiency[J]. The Annals of Mathematical Statistics, 1951, 22(1): 79-86. DOI:10.1214/aoms/1177729694.</w:t>
      </w:r>
    </w:p>
    <w:p>
      <w:pPr>
        <w:pStyle w:val="a8"/>
        <w:jc w:val="left"/>
        <w:ind w:firstLine="420"/>
        <w:numPr>
          <w:ilvl w:val="0"/>
          <w:numId w:val="2"/>
        </w:numPr>
      </w:pPr>
      <w:r>
        <w:t>Lin J. Divergence Measures Based on the Shannon Entropy[J]. IEEE Transactions on Information Theory, 1991, 37(1): 145-151.</w:t>
      </w:r>
    </w:p>
    <w:p>
      <w:pPr>
        <w:pStyle w:val="a8"/>
        <w:jc w:val="left"/>
        <w:ind w:firstLine="420"/>
        <w:numPr>
          <w:ilvl w:val="0"/>
          <w:numId w:val="2"/>
        </w:numPr>
      </w:pPr>
      <w:r>
        <w:t>Hu E J, Shen Y, Wallis P, et al. LoRA: Low-Rank Adaptation of Large Language Models[C]//International Conference on Learning Representations. 2022. arXiv:2106.09685.</w:t>
      </w:r>
    </w:p>
    <w:p>
      <w:pPr>
        <w:pStyle w:val="a8"/>
        <w:jc w:val="left"/>
        <w:ind w:firstLine="420"/>
        <w:numPr>
          <w:ilvl w:val="0"/>
          <w:numId w:val="2"/>
        </w:numPr>
      </w:pPr>
      <w:r>
        <w:t>Kwon W, Li Z, Zhuang S, et al. Efficient Memory Management for Large Language Model Serving with PagedAttention[C]//Proceedings of the 29th Symposium on Operating Systems Principles. ACM, 2023: 611-626. DOI:10.1145/3600006.3613165.</w:t>
      </w:r>
    </w:p>
    <w:p>
      <w:pPr>
        <w:pStyle w:val="a8"/>
        <w:jc w:val="left"/>
        <w:ind w:firstLine="420"/>
        <w:numPr>
          <w:ilvl w:val="0"/>
          <w:numId w:val="2"/>
        </w:numPr>
      </w:pPr>
      <w:r>
        <w:t>Yao S, Zhao J, Yu D, et al. ReAct: Synergizing Reasoning and Acting in Language Models[C]//International Conference on Learning Representations. 2023. arXiv:2210.03629.</w:t>
      </w:r>
    </w:p>
    <w:p>
      <w:pPr>
        <w:pStyle w:val="a8"/>
        <w:jc w:val="left"/>
        <w:ind w:firstLine="420"/>
        <w:numPr>
          <w:ilvl w:val="0"/>
          <w:numId w:val="2"/>
        </w:numPr>
      </w:pPr>
      <w:r>
        <w:t>Patil S G, Zhang T, Wang X, et al. Gorilla: Large Language Model Connected with Massive APIs[EB/OL]. arXiv:2305.15334, 2023.</w:t>
      </w:r>
    </w:p>
    <w:p>
      <w:pPr>
        <w:pStyle w:val="a8"/>
        <w:jc w:val="left"/>
        <w:ind w:firstLine="420"/>
        <w:numPr>
          <w:ilvl w:val="0"/>
          <w:numId w:val="2"/>
        </w:numPr>
      </w:pPr>
      <w:r>
        <w:t>Li M, Zhao Y, Yu B, et al. API-Bank: A Comprehensive Benchmark for Tool-Augmented LLMs[C]//Proceedings of the 2023 Conference on Empirical Methods in Natural Language Processing. ACL, 2023: 3102-3116. DOI:10.18653/v1/2023.emnlp-main.187.</w:t>
      </w:r>
    </w:p>
    <w:p>
      <w:pPr>
        <w:pStyle w:val="a8"/>
        <w:jc w:val="left"/>
        <w:ind w:firstLine="420"/>
        <w:numPr>
          <w:ilvl w:val="0"/>
          <w:numId w:val="2"/>
        </w:numPr>
      </w:pPr>
      <w:r>
        <w:t>Qin Y, Liang S, Ye Y, et al. ToolLLM: Facilitating Large Language Models to Master 16000+ Real-world APIs[EB/OL]. arXiv:2307.16789, 2023.</w:t>
      </w:r>
    </w:p>
    <w:p>
      <w:pPr>
        <w:pStyle w:val="a8"/>
        <w:jc w:val="left"/>
        <w:ind w:firstLine="420"/>
        <w:numPr>
          <w:ilvl w:val="0"/>
          <w:numId w:val="2"/>
        </w:numPr>
      </w:pPr>
      <w:r>
        <w:t>Liu Z, Hoang T, Zhang J, et al. APIGen: Automated Pipeline for Generating Verifiable and Diverse Function-Calling Datasets[C]//Advances in Neural Information Processing Systems. 2024. DOI:10.52202/079017-1725.</w:t>
      </w:r>
    </w:p>
    <w:p>
      <w:pPr>
        <w:pStyle w:val="a8"/>
        <w:jc w:val="left"/>
        <w:ind w:firstLine="420"/>
        <w:numPr>
          <w:ilvl w:val="0"/>
          <w:numId w:val="2"/>
        </w:numPr>
      </w:pPr>
      <w:r>
        <w:t>Liu W, Huang X, Zeng X, et al. ToolACE: Winning the Points of LLM Function Calling[C]//International Conference on Learning Representations. 2025. arXiv:2409.00920.</w:t>
      </w:r>
    </w:p>
    <w:p>
      <w:pPr>
        <w:pStyle w:val="a8"/>
        <w:jc w:val="left"/>
        <w:ind w:firstLine="420"/>
        <w:numPr>
          <w:ilvl w:val="0"/>
          <w:numId w:val="2"/>
        </w:numPr>
      </w:pPr>
      <w:r>
        <w:t>Patil S G, Mao H, Yan F, et al. The Berkeley Function Calling Leaderboard (BFCL): From Tool Use to Agentic Evaluation of Large Language Models[C]//Proceedings of the 42nd International Conference on Machine Learning. PMLR, 2025, 267: 48371-48392.</w:t>
      </w:r>
    </w:p>
    <w:sectPr w:rsidR="00C914EC" w:rsidRPr="00A847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884D99" w14:textId="77777777" w:rsidR="00341B2C" w:rsidRDefault="00341B2C" w:rsidP="00737F6A">
      <w:pPr>
        <w:spacing w:line="240" w:lineRule="auto"/>
      </w:pPr>
      <w:r>
        <w:separator/>
      </w:r>
    </w:p>
  </w:endnote>
  <w:endnote w:type="continuationSeparator" w:id="0">
    <w:p w14:paraId="610E68BD" w14:textId="77777777" w:rsidR="00341B2C" w:rsidRDefault="00341B2C" w:rsidP="00737F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TimesNewRomanPSMT">
    <w:altName w:val="Times New Roman"/>
    <w:panose1 w:val="00000000000000000000"/>
    <w:charset w:val="00"/>
    <w:family w:val="roman"/>
    <w:notTrueType/>
    <w:pitch w:val="default"/>
  </w:font>
  <w:font w:name="楷体_GB2312">
    <w:altName w:val="微软雅黑"/>
    <w:charset w:val="86"/>
    <w:family w:val="modern"/>
    <w:pitch w:val="fixed"/>
    <w:sig w:usb0="00000000" w:usb1="080E0000" w:usb2="00000010" w:usb3="00000000" w:csb0="00040000" w:csb1="00000000"/>
  </w:font>
  <w:font w:name="Roman PS">
    <w:altName w:val="Times New Roman"/>
    <w:panose1 w:val="00000000000000000000"/>
    <w:charset w:val="00"/>
    <w:family w:val="roman"/>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E4405" w14:textId="77777777" w:rsidR="00341B2C" w:rsidRDefault="00341B2C" w:rsidP="00737F6A">
      <w:pPr>
        <w:spacing w:line="240" w:lineRule="auto"/>
      </w:pPr>
      <w:r>
        <w:separator/>
      </w:r>
    </w:p>
  </w:footnote>
  <w:footnote w:type="continuationSeparator" w:id="0">
    <w:p w14:paraId="21EB17C7" w14:textId="77777777" w:rsidR="00341B2C" w:rsidRDefault="00341B2C" w:rsidP="00737F6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62AD8"/>
    <w:multiLevelType w:val="hybridMultilevel"/>
    <w:tmpl w:val="BE5A1B14"/>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1CB75F7"/>
    <w:multiLevelType w:val="hybridMultilevel"/>
    <w:tmpl w:val="A7BA0C28"/>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A9761D5"/>
    <w:multiLevelType w:val="hybridMultilevel"/>
    <w:tmpl w:val="7452CD10"/>
    <w:lvl w:ilvl="0" w:tplc="0B36638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D7C4D94"/>
    <w:multiLevelType w:val="hybridMultilevel"/>
    <w:tmpl w:val="D5D62522"/>
    <w:lvl w:ilvl="0" w:tplc="5518F35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1696281"/>
    <w:multiLevelType w:val="hybridMultilevel"/>
    <w:tmpl w:val="8B9C80AC"/>
    <w:lvl w:ilvl="0" w:tplc="7A42AF48">
      <w:start w:val="1"/>
      <w:numFmt w:val="decimal"/>
      <w:lvlText w:val="图%1"/>
      <w:lvlJc w:val="left"/>
      <w:pPr>
        <w:ind w:left="840" w:hanging="420"/>
      </w:pPr>
      <w:rPr>
        <w:rFonts w:hint="eastAsia"/>
      </w:rPr>
    </w:lvl>
    <w:lvl w:ilvl="1" w:tplc="DF2AEC06">
      <w:start w:val="1"/>
      <w:numFmt w:val="decimal"/>
      <w:lvlText w:val="%2."/>
      <w:lvlJc w:val="left"/>
      <w:pPr>
        <w:ind w:left="1200" w:hanging="360"/>
      </w:pPr>
      <w:rPr>
        <w:rFont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453F55D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528F7678"/>
    <w:multiLevelType w:val="hybridMultilevel"/>
    <w:tmpl w:val="71F2C0A4"/>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9931E0F"/>
    <w:multiLevelType w:val="hybridMultilevel"/>
    <w:tmpl w:val="B650B31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F7562B4"/>
    <w:multiLevelType w:val="hybridMultilevel"/>
    <w:tmpl w:val="E3667968"/>
    <w:lvl w:ilvl="0" w:tplc="0409000B">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9" w15:restartNumberingAfterBreak="0">
    <w:nsid w:val="69A00027"/>
    <w:multiLevelType w:val="hybridMultilevel"/>
    <w:tmpl w:val="E81657AE"/>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D2E3987"/>
    <w:multiLevelType w:val="hybridMultilevel"/>
    <w:tmpl w:val="DB029048"/>
    <w:lvl w:ilvl="0" w:tplc="FFFFFFFF">
      <w:start w:val="1"/>
      <w:numFmt w:val="decimal"/>
      <w:lvlText w:val="%1."/>
      <w:lvlJc w:val="left"/>
      <w:pPr>
        <w:ind w:left="420" w:hanging="420"/>
      </w:pPr>
    </w:lvl>
    <w:lvl w:ilvl="1" w:tplc="0409000F">
      <w:start w:val="1"/>
      <w:numFmt w:val="decimal"/>
      <w:lvlText w:val="%2."/>
      <w:lvlJc w:val="left"/>
      <w:pPr>
        <w:ind w:left="42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num w:numId="1" w16cid:durableId="602034600">
    <w:abstractNumId w:val="6"/>
  </w:num>
  <w:num w:numId="2" w16cid:durableId="1510412155">
    <w:abstractNumId w:val="3"/>
  </w:num>
  <w:num w:numId="3" w16cid:durableId="464666940">
    <w:abstractNumId w:val="9"/>
  </w:num>
  <w:num w:numId="4" w16cid:durableId="1719740891">
    <w:abstractNumId w:val="1"/>
  </w:num>
  <w:num w:numId="5" w16cid:durableId="1622999934">
    <w:abstractNumId w:val="4"/>
  </w:num>
  <w:num w:numId="6" w16cid:durableId="809707024">
    <w:abstractNumId w:val="8"/>
  </w:num>
  <w:num w:numId="7" w16cid:durableId="1165708377">
    <w:abstractNumId w:val="5"/>
  </w:num>
  <w:num w:numId="8" w16cid:durableId="438764842">
    <w:abstractNumId w:val="7"/>
  </w:num>
  <w:num w:numId="9" w16cid:durableId="1159884837">
    <w:abstractNumId w:val="2"/>
  </w:num>
  <w:num w:numId="10" w16cid:durableId="716779649">
    <w:abstractNumId w:val="0"/>
  </w:num>
  <w:num w:numId="11" w16cid:durableId="6078562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12DBD"/>
  <w15:chartTrackingRefBased/>
  <w15:docId w15:val="{993D8398-9085-451C-94BE-401669A8702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2072"/>
    <w:pPr>
      <w:widowControl w:val="0"/>
      <w:spacing w:line="360" w:lineRule="auto"/>
      <w:jc w:val="both"/>
    </w:pPr>
    <w:rPr>
      <w:rFonts w:ascii="Times New Roman" w:eastAsia="宋体" w:hAnsi="Times New Roman" w:cs="Times New Roman"/>
      <w:sz w:val="24"/>
      <w:szCs w:val="24"/>
    </w:rPr>
  </w:style>
  <w:style w:type="paragraph" w:styleId="1">
    <w:name w:val="heading 1"/>
    <w:basedOn w:val="a"/>
    <w:next w:val="a"/>
    <w:link w:val="10"/>
    <w:uiPriority w:val="9"/>
    <w:qFormat/>
    <w:rsid w:val="00F04C38"/>
    <w:pPr>
      <w:keepNext/>
      <w:keepLines/>
      <w:spacing w:before="340" w:after="330" w:line="578" w:lineRule="auto"/>
      <w:outlineLvl w:val="0"/>
    </w:pPr>
    <w:rPr>
      <w:rFonts w:ascii="SimHei" w:hAnsi="SimHei" w:eastAsia="黑体" w:cs="SimHei"/>
      <w:b w:val="0"/>
      <w:bCs/>
      <w:color w:val="000000"/>
      <w:kern w:val="44"/>
      <w:sz w:val="28"/>
      <w:szCs w:val="44"/>
    </w:rPr>
  </w:style>
  <w:style w:type="paragraph" w:styleId="2">
    <w:name w:val="heading 2"/>
    <w:basedOn w:val="a"/>
    <w:next w:val="a"/>
    <w:link w:val="20"/>
    <w:uiPriority w:val="9"/>
    <w:unhideWhenUsed/>
    <w:qFormat/>
    <w:rsid w:val="00F04C38"/>
    <w:pPr>
      <w:keepNext/>
      <w:keepLines/>
      <w:spacing w:before="260" w:after="260" w:line="416" w:lineRule="auto"/>
      <w:outlineLvl w:val="1"/>
    </w:pPr>
    <w:rPr>
      <w:rFonts w:asciiTheme="majorHAnsi" w:eastAsiaTheme="majorEastAsia" w:hAnsiTheme="majorHAnsi" w:cstheme="majorBidi" w:ascii="SimHei" w:hAnsi="SimHei" w:eastAsia="黑体" w:cs="SimHei"/>
      <w:b w:val="0"/>
      <w:bCs/>
      <w:color w:val="000000"/>
      <w:sz w:val="24"/>
      <w:szCs w:val="32"/>
    </w:rPr>
  </w:style>
  <w:style w:type="paragraph" w:styleId="3">
    <w:name w:val="heading 3"/>
    <w:basedOn w:val="a"/>
    <w:next w:val="a"/>
    <w:link w:val="30"/>
    <w:uiPriority w:val="9"/>
    <w:unhideWhenUsed/>
    <w:qFormat/>
    <w:rsid w:val="00F04C38"/>
    <w:pPr>
      <w:keepNext/>
      <w:keepLines/>
      <w:spacing w:before="260" w:after="260" w:line="416" w:lineRule="auto"/>
      <w:outlineLvl w:val="2"/>
    </w:pPr>
    <w:rPr>
      <w:rFonts w:ascii="SimHei" w:hAnsi="SimHei" w:eastAsia="黑体" w:cs="SimHei"/>
      <w:b w:val="0"/>
      <w:bCs/>
      <w:color w:val="000000"/>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样式 (中文) 黑体 小二 居中"/>
    <w:basedOn w:val="a"/>
    <w:rsid w:val="00A847C4"/>
    <w:pPr>
      <w:snapToGrid w:val="0"/>
      <w:spacing w:before="400" w:after="200" w:line="300" w:lineRule="auto"/>
      <w:jc w:val="center"/>
    </w:pPr>
    <w:rPr>
      <w:rFonts w:eastAsia="黑体" w:cs="宋体"/>
      <w:sz w:val="36"/>
      <w:szCs w:val="20"/>
    </w:rPr>
  </w:style>
  <w:style w:type="paragraph" w:customStyle="1" w:styleId="a4">
    <w:name w:val="节"/>
    <w:basedOn w:val="a"/>
    <w:rsid w:val="00A847C4"/>
    <w:pPr>
      <w:snapToGrid w:val="0"/>
      <w:spacing w:beforeLines="50" w:afterLines="50" w:line="300" w:lineRule="auto"/>
    </w:pPr>
    <w:rPr>
      <w:rFonts w:eastAsia="黑体"/>
      <w:sz w:val="30"/>
    </w:rPr>
  </w:style>
  <w:style w:type="paragraph" w:customStyle="1" w:styleId="a5">
    <w:name w:val="条"/>
    <w:basedOn w:val="a"/>
    <w:rsid w:val="00A847C4"/>
    <w:pPr>
      <w:snapToGrid w:val="0"/>
      <w:spacing w:beforeLines="50" w:afterLines="50" w:line="300" w:lineRule="auto"/>
    </w:pPr>
    <w:rPr>
      <w:rFonts w:eastAsia="黑体"/>
      <w:sz w:val="28"/>
    </w:rPr>
  </w:style>
  <w:style w:type="paragraph" w:customStyle="1" w:styleId="a6">
    <w:name w:val="款"/>
    <w:basedOn w:val="a"/>
    <w:rsid w:val="00A847C4"/>
    <w:pPr>
      <w:snapToGrid w:val="0"/>
      <w:spacing w:line="300" w:lineRule="auto"/>
    </w:pPr>
    <w:rPr>
      <w:rFonts w:eastAsia="黑体"/>
    </w:rPr>
  </w:style>
  <w:style w:type="paragraph" w:styleId="a7">
    <w:name w:val="Normal (Web)"/>
    <w:basedOn w:val="a"/>
    <w:uiPriority w:val="99"/>
    <w:semiHidden/>
    <w:unhideWhenUsed/>
    <w:rsid w:val="00FF6926"/>
    <w:pPr>
      <w:widowControl/>
      <w:spacing w:before="100" w:beforeAutospacing="1" w:after="100" w:afterAutospacing="1"/>
      <w:jc w:val="left"/>
    </w:pPr>
    <w:rPr>
      <w:rFonts w:ascii="宋体" w:hAnsi="宋体" w:cs="宋体"/>
      <w:kern w:val="0"/>
    </w:rPr>
  </w:style>
  <w:style w:type="paragraph" w:styleId="a8">
    <w:name w:val="List Paragraph"/>
    <w:basedOn w:val="a"/>
    <w:uiPriority w:val="34"/>
    <w:qFormat/>
    <w:rsid w:val="003A2072"/>
    <w:pPr>
      <w:ind w:firstLineChars="200" w:firstLine="420"/>
    </w:pPr>
  </w:style>
  <w:style w:type="character" w:customStyle="1" w:styleId="fontstyle01">
    <w:name w:val="fontstyle01"/>
    <w:basedOn w:val="a0"/>
    <w:rsid w:val="003A2072"/>
    <w:rPr>
      <w:rFonts w:ascii="宋体" w:eastAsia="宋体" w:hAnsi="宋体" w:hint="eastAsia"/>
      <w:b w:val="0"/>
      <w:bCs w:val="0"/>
      <w:i w:val="0"/>
      <w:iCs w:val="0"/>
      <w:color w:val="000000"/>
      <w:sz w:val="24"/>
      <w:szCs w:val="24"/>
    </w:rPr>
  </w:style>
  <w:style w:type="character" w:customStyle="1" w:styleId="fontstyle21">
    <w:name w:val="fontstyle21"/>
    <w:basedOn w:val="a0"/>
    <w:rsid w:val="003A2072"/>
    <w:rPr>
      <w:rFonts w:ascii="TimesNewRomanPSMT" w:hAnsi="TimesNewRomanPSMT" w:hint="default"/>
      <w:b w:val="0"/>
      <w:bCs w:val="0"/>
      <w:i w:val="0"/>
      <w:iCs w:val="0"/>
      <w:color w:val="000000"/>
      <w:sz w:val="24"/>
      <w:szCs w:val="24"/>
    </w:rPr>
  </w:style>
  <w:style w:type="table" w:styleId="a9">
    <w:name w:val="Table Grid"/>
    <w:basedOn w:val="a1"/>
    <w:uiPriority w:val="39"/>
    <w:rsid w:val="00F04C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rsid w:val="00F04C38"/>
    <w:rPr>
      <w:rFonts w:asciiTheme="majorHAnsi" w:eastAsiaTheme="majorEastAsia" w:hAnsiTheme="majorHAnsi" w:cstheme="majorBidi"/>
      <w:b/>
      <w:bCs/>
      <w:sz w:val="30"/>
      <w:szCs w:val="32"/>
    </w:rPr>
  </w:style>
  <w:style w:type="character" w:customStyle="1" w:styleId="10">
    <w:name w:val="标题 1 字符"/>
    <w:basedOn w:val="a0"/>
    <w:link w:val="1"/>
    <w:uiPriority w:val="9"/>
    <w:rsid w:val="00F04C38"/>
    <w:rPr>
      <w:rFonts w:ascii="Times New Roman" w:eastAsia="宋体" w:hAnsi="Times New Roman" w:cs="Times New Roman"/>
      <w:b/>
      <w:bCs/>
      <w:kern w:val="44"/>
      <w:sz w:val="32"/>
      <w:szCs w:val="44"/>
    </w:rPr>
  </w:style>
  <w:style w:type="character" w:customStyle="1" w:styleId="30">
    <w:name w:val="标题 3 字符"/>
    <w:basedOn w:val="a0"/>
    <w:link w:val="3"/>
    <w:uiPriority w:val="9"/>
    <w:rsid w:val="00F04C38"/>
    <w:rPr>
      <w:rFonts w:ascii="Times New Roman" w:eastAsia="宋体" w:hAnsi="Times New Roman" w:cs="Times New Roman"/>
      <w:b/>
      <w:bCs/>
      <w:sz w:val="28"/>
      <w:szCs w:val="32"/>
    </w:rPr>
  </w:style>
  <w:style w:type="paragraph" w:styleId="aa">
    <w:name w:val="header"/>
    <w:basedOn w:val="a"/>
    <w:link w:val="ab"/>
    <w:uiPriority w:val="99"/>
    <w:unhideWhenUsed/>
    <w:rsid w:val="00737F6A"/>
    <w:pPr>
      <w:pBdr>
        <w:bottom w:val="single" w:sz="6" w:space="1" w:color="auto"/>
      </w:pBdr>
      <w:tabs>
        <w:tab w:val="center" w:pos="4153"/>
        <w:tab w:val="right" w:pos="8306"/>
      </w:tabs>
      <w:snapToGrid w:val="0"/>
      <w:spacing w:line="240" w:lineRule="auto"/>
      <w:jc w:val="center"/>
    </w:pPr>
    <w:rPr>
      <w:sz w:val="18"/>
      <w:szCs w:val="18"/>
    </w:rPr>
  </w:style>
  <w:style w:type="character" w:customStyle="1" w:styleId="ab">
    <w:name w:val="页眉 字符"/>
    <w:basedOn w:val="a0"/>
    <w:link w:val="aa"/>
    <w:uiPriority w:val="99"/>
    <w:rsid w:val="00737F6A"/>
    <w:rPr>
      <w:rFonts w:ascii="Times New Roman" w:eastAsia="宋体" w:hAnsi="Times New Roman" w:cs="Times New Roman"/>
      <w:sz w:val="18"/>
      <w:szCs w:val="18"/>
    </w:rPr>
  </w:style>
  <w:style w:type="paragraph" w:styleId="ac">
    <w:name w:val="footer"/>
    <w:basedOn w:val="a"/>
    <w:link w:val="ad"/>
    <w:uiPriority w:val="99"/>
    <w:unhideWhenUsed/>
    <w:rsid w:val="00737F6A"/>
    <w:pPr>
      <w:tabs>
        <w:tab w:val="center" w:pos="4153"/>
        <w:tab w:val="right" w:pos="8306"/>
      </w:tabs>
      <w:snapToGrid w:val="0"/>
      <w:spacing w:line="240" w:lineRule="auto"/>
      <w:jc w:val="left"/>
    </w:pPr>
    <w:rPr>
      <w:sz w:val="18"/>
      <w:szCs w:val="18"/>
    </w:rPr>
  </w:style>
  <w:style w:type="character" w:customStyle="1" w:styleId="ad">
    <w:name w:val="页脚 字符"/>
    <w:basedOn w:val="a0"/>
    <w:link w:val="ac"/>
    <w:uiPriority w:val="99"/>
    <w:rsid w:val="00737F6A"/>
    <w:rPr>
      <w:rFonts w:ascii="Times New Roman" w:eastAsia="宋体"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0405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4559</TotalTime>
  <Pages>9</Pages>
  <Words>735</Words>
  <Characters>4192</Characters>
  <Application>Microsoft Office Word</Application>
  <DocSecurity>0</DocSecurity>
  <Lines>34</Lines>
  <Paragraphs>9</Paragraphs>
  <ScaleCrop>false</ScaleCrop>
  <Company/>
  <LinksUpToDate>false</LinksUpToDate>
  <CharactersWithSpaces>4918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董 睿璞</dc:creator>
  <cp:keywords/>
  <dc:description/>
  <cp:lastModifiedBy>Hu Mengkang</cp:lastModifiedBy>
  <cp:revision>8</cp:revision>
  <dcterms:created xsi:type="dcterms:W3CDTF">2022-10-09T10:38:00Z</dcterms:created>
  <dcterms:modified xsi:type="dcterms:W3CDTF">2022-10-24T07:37:00Z</dcterms:modified>
</cp:coreProperties>
</file>