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SimHei" w:hint="eastAsia" w:ascii="SimHei" w:eastAsia="黑体" w:cs="SimHei"/>
          <w:b/>
          <w:color w:val="000000"/>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SimHei" w:hAnsi="SimHei" w:eastAsia="黑体" w:cs="SimHei"/>
          <w:b/>
          <w:color w:val="000000"/>
          <w:sz w:val="28"/>
          <w:szCs w:val="21"/>
        </w:rPr>
        <w:t>题</w:t>
      </w:r>
      <w:r w:rsidRPr="00FD19E3">
        <w:rPr>
          <w:rFonts w:ascii="SimHei" w:hAnsi="SimHei" w:eastAsia="黑体" w:cs="SimHei"/>
          <w:b/>
          <w:color w:val="000000"/>
          <w:sz w:val="28"/>
          <w:szCs w:val="21"/>
        </w:rPr>
        <w:t xml:space="preserve"> </w:t>
      </w:r>
      <w:r w:rsidRPr="00FD19E3">
        <w:rPr>
          <w:rFonts w:hint="eastAsia" w:ascii="SimHei" w:hAnsi="SimHei" w:eastAsia="黑体" w:cs="SimHei"/>
          <w:b/>
          <w:color w:val="000000"/>
          <w:sz w:val="28"/>
          <w:szCs w:val="21"/>
        </w:rPr>
        <w:t>目</w:t>
      </w:r>
      <w:r w:rsidR="00866FFA" w:rsidRPr="00FD19E3">
        <w:rPr>
          <w:rFonts w:hint="eastAsia" w:ascii="SimHei" w:hAnsi="SimHei" w:eastAsia="黑体" w:cs="SimHei"/>
          <w:b/>
          <w:color w:val="000000"/>
          <w:sz w:val="28"/>
          <w:szCs w:val="21"/>
        </w:rPr>
        <w:t>：</w:t>
      </w:r>
      <w:r w:rsidR="00FD19E3" w:rsidRPr="00FD19E3">
        <w:rPr>
          <w:rFonts w:hint="eastAsia" w:ascii="SimHei" w:hAnsi="SimHei" w:eastAsia="黑体" w:cs="SimHei"/>
          <w:b/>
          <w:color w:val="000000"/>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rFonts w:ascii="SimHei" w:hAnsi="SimHei" w:eastAsia="黑体" w:cs="SimHei"/>
          <w:color w:val="000000"/>
        </w:rPr>
        <w:t>1．课题来源及研究的目的和意义</w:t>
      </w:r>
    </w:p>
    <w:p>
      <w:pPr>
        <w:pStyle w:val="2"/>
      </w:pPr>
      <w:r>
        <w:rPr>
          <w:rFonts w:ascii="SimHei" w:hAnsi="SimHei" w:eastAsia="黑体" w:cs="SimHei"/>
          <w:color w:val="000000"/>
        </w:rPr>
        <w:t>1.1 课题来源</w:t>
      </w:r>
    </w:p>
    <w:p>
      <w:pPr>
        <w:pStyle w:val="a"/>
        <w:jc w:val="both"/>
        <w:ind w:firstLine="420"/>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pPr>
        <w:pStyle w:val="a"/>
        <w:jc w:val="both"/>
        <w:ind w:firstLine="420"/>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pPr>
        <w:pStyle w:val="2"/>
      </w:pPr>
      <w:r>
        <w:rPr>
          <w:rFonts w:ascii="SimHei" w:hAnsi="SimHei" w:eastAsia="黑体" w:cs="SimHei"/>
          <w:color w:val="000000"/>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pPr>
        <w:pStyle w:val="a"/>
        <w:jc w:val="both"/>
        <w:ind w:firstLine="420"/>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pPr>
        <w:pStyle w:val="2"/>
      </w:pPr>
      <w:r>
        <w:rPr>
          <w:rFonts w:ascii="SimHei" w:hAnsi="SimHei" w:eastAsia="黑体" w:cs="SimHei"/>
          <w:color w:val="000000"/>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pPr>
        <w:pStyle w:val="2"/>
      </w:pPr>
      <w:r>
        <w:rPr>
          <w:rFonts w:ascii="SimHei" w:hAnsi="SimHei" w:eastAsia="黑体" w:cs="SimHei"/>
          <w:color w:val="000000"/>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pPr>
        <w:pStyle w:val="a"/>
        <w:jc w:val="both"/>
        <w:ind w:firstLine="420"/>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pPr>
        <w:pStyle w:val="2"/>
      </w:pPr>
      <w:r>
        <w:rPr>
          <w:rFonts w:ascii="SimHei" w:hAnsi="SimHei" w:eastAsia="黑体" w:cs="SimHei"/>
          <w:color w:val="000000"/>
        </w:rPr>
        <w:t>1.5 研究目的和意义</w:t>
      </w:r>
    </w:p>
    <w:p>
      <w:pPr>
        <w:pStyle w:val="a"/>
        <w:jc w:val="both"/>
        <w:ind w:firstLine="420"/>
      </w:pPr>
      <w:r>
        <w:t>本课题的研究目的如下：</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从任务正确率、训练稳定性、分布变化和资源开销分析方法差异，并在 vLLM 或自建测试程序中测量推理吞吐、延迟和端到端调用成功率。</w:t>
      </w:r>
    </w:p>
    <w:p>
      <w:pPr>
        <w:pStyle w:val="a"/>
        <w:jc w:val="both"/>
        <w:ind w:firstLine="420"/>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pPr>
        <w:pStyle w:val="1"/>
      </w:pPr>
      <w:r>
        <w:rPr>
          <w:rFonts w:ascii="SimHei" w:hAnsi="SimHei" w:eastAsia="黑体" w:cs="SimHei"/>
          <w:color w:val="000000"/>
        </w:rPr>
        <w:t>2．国内外在该方向的研究现状及分析</w:t>
      </w:r>
    </w:p>
    <w:p>
      <w:pPr>
        <w:pStyle w:val="2"/>
      </w:pPr>
      <w:r>
        <w:rPr>
          <w:rFonts w:ascii="SimHei" w:hAnsi="SimHei" w:eastAsia="黑体" w:cs="SimHei"/>
          <w:color w:val="000000"/>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实际系统可以先使用 SFT 再进行 OPD，也可以将教师反馈与任务奖励结合。本课题聚焦 LoRA-OPD 路线，主要研究学生策略采样、教师分布反馈、散度方向和监督信息粒度；RLHF、DPO 等其他后训练方法仅作为研究背景。</w:t>
      </w:r>
    </w:p>
    <w:p>
      <w:pPr>
        <w:pStyle w:val="2"/>
      </w:pPr>
      <w:r>
        <w:rPr>
          <w:rFonts w:ascii="SimHei" w:hAnsi="SimHei" w:eastAsia="黑体" w:cs="SimHei"/>
          <w:color w:val="000000"/>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pPr>
        <w:pStyle w:val="a"/>
        <w:jc w:val="both"/>
        <w:ind w:firstLine="420"/>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pPr>
        <w:pStyle w:val="a"/>
        <w:jc w:val="both"/>
        <w:ind w:firstLine="420"/>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pPr>
        <w:pStyle w:val="a"/>
        <w:jc w:val="both"/>
        <w:ind w:firstLine="420"/>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pPr>
        <w:pStyle w:val="2"/>
      </w:pPr>
      <w:r>
        <w:rPr>
          <w:rFonts w:ascii="SimHei" w:hAnsi="SimHei" w:eastAsia="黑体" w:cs="SimHei"/>
          <w:color w:val="000000"/>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广义散度部分主要分析 JSD、skew KL 等代表性目标，研究其在教师分布覆盖、学生高概率区域和训练稳定性方面的差异。实验配置统一记录目标函数形式、混合参数、支持集和 K1 估计方式。</w:t>
      </w:r>
    </w:p>
    <w:p>
      <w:pPr>
        <w:pStyle w:val="a"/>
        <w:jc w:val="both"/>
        <w:ind w:firstLine="420"/>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pPr>
        <w:pStyle w:val="a"/>
        <w:jc w:val="both"/>
        <w:ind w:firstLine="420"/>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pPr>
        <w:pStyle w:val="2"/>
      </w:pPr>
      <w:r>
        <w:rPr>
          <w:rFonts w:ascii="SimHei" w:hAnsi="SimHei" w:eastAsia="黑体" w:cs="SimHei"/>
          <w:color w:val="000000"/>
        </w:rPr>
        <w:t>2.4 监督信息粒度与资源效率</w:t>
      </w:r>
    </w:p>
    <w:p>
      <w:pPr>
        <w:pStyle w:val="a"/>
        <w:jc w:val="both"/>
        <w:ind w:firstLine="420"/>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pPr>
        <w:pStyle w:val="a"/>
        <w:jc w:val="both"/>
        <w:ind w:firstLine="420"/>
      </w:pPr>
      <w:r>
        <w:t>Qwen3 技术报告提供了模型家族的背景信息[16]。LoRA 通过低秩增量减少需要更新的参数量[19]，为小模型后训练提供了参数高效的实现路径。量化适配会引入新的资源变量，因此不纳入主要比较。</w:t>
      </w:r>
    </w:p>
    <w:p>
      <w:pPr>
        <w:pStyle w:val="2"/>
      </w:pPr>
      <w:r>
        <w:rPr>
          <w:rFonts w:ascii="SimHei" w:hAnsi="SimHei" w:eastAsia="黑体" w:cs="SimHei"/>
          <w:color w:val="000000"/>
        </w:rPr>
        <w:t>2.5 Function Calling 数据与评测研究</w:t>
      </w:r>
    </w:p>
    <w:p>
      <w:pPr>
        <w:pStyle w:val="a"/>
        <w:jc w:val="both"/>
        <w:ind w:firstLine="420"/>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pPr>
        <w:pStyle w:val="a"/>
        <w:jc w:val="both"/>
        <w:ind w:firstLine="420"/>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pPr>
        <w:pStyle w:val="a"/>
        <w:jc w:val="both"/>
        <w:ind w:firstLine="420"/>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pPr>
        <w:pStyle w:val="2"/>
      </w:pPr>
      <w:r>
        <w:rPr>
          <w:rFonts w:ascii="SimHei" w:hAnsi="SimHei" w:eastAsia="黑体" w:cs="SimHei"/>
          <w:color w:val="000000"/>
        </w:rPr>
        <w:t>2.6 研究空白</w:t>
      </w:r>
    </w:p>
    <w:p>
      <w:pPr>
        <w:pStyle w:val="a"/>
        <w:jc w:val="both"/>
        <w:ind w:firstLine="420"/>
      </w:pPr>
      <w:r>
        <w:t>现有研究仍存在以下可继续分析的问题：</w:t>
      </w:r>
    </w:p>
    <w:p>
      <w:pPr>
        <w:pStyle w:val="a8"/>
        <w:jc w:val="left"/>
        <w:ind w:firstLine="420"/>
      </w:pPr>
      <w:r>
        <w:t>1. 不同 OPD 方法使用的模型、任务和训练预算不同，KL 方向与监督信息粒度/估计方式的独立影响尚不容易区分。</w:t>
      </w:r>
    </w:p>
    <w:p>
      <w:pPr>
        <w:pStyle w:val="a8"/>
        <w:jc w:val="left"/>
        <w:ind w:firstLine="420"/>
      </w:pPr>
      <w:r>
        <w:t>2. 全词表、Top-K 和 K1 的名称相近，但支持集、重归一化、采样 proposal 和特殊 token 处理可能不同，若协议不明确则难以复现。</w:t>
      </w:r>
    </w:p>
    <w:p>
      <w:pPr>
        <w:pStyle w:val="a8"/>
        <w:jc w:val="left"/>
        <w:ind w:firstLine="420"/>
      </w:pPr>
      <w:r>
        <w:t>3. 许多研究更关注生成质量或任务分数，Function Calling 还需要同时观察格式解析、函数名、参数和工具执行。</w:t>
      </w:r>
    </w:p>
    <w:p>
      <w:pPr>
        <w:pStyle w:val="a8"/>
        <w:jc w:val="left"/>
        <w:ind w:firstLine="420"/>
      </w:pPr>
      <w:r>
        <w:t>4. token 级分布差异、训练熵变化与端到端函数调用成功率之间的关系需要在统一任务中进行分析。</w:t>
      </w:r>
    </w:p>
    <w:p>
      <w:pPr>
        <w:pStyle w:val="a8"/>
        <w:jc w:val="left"/>
        <w:ind w:firstLine="420"/>
      </w:pPr>
      <w:r>
        <w:t>5. 小模型在教师指导下的收益还受到 LoRA 容量、模板兼容性和资源预算影响，需要在统一模型与训练条件下进行分析。</w:t>
      </w:r>
    </w:p>
    <w:p>
      <w:pPr>
        <w:pStyle w:val="a"/>
        <w:jc w:val="both"/>
        <w:ind w:firstLine="420"/>
      </w:pPr>
      <w:r>
        <w:t>因此，本课题以 Qwen3-0.6B 学生、Qwen3-4B 教师和经过审计的公开 Function Calling 数据为基础，比较任务要求中的散度方向和监督信息粒度，重点分析任务正确率、训练稳定性、显存占用、训练吞吐和推理性能。</w:t>
      </w:r>
    </w:p>
    <w:p>
      <w:pPr>
        <w:pStyle w:val="a"/>
        <w:jc w:val="both"/>
        <w:ind w:firstLine="420"/>
      </w:pPr>
      <w:r>
        <w:t>综合现有工作，本课题关注的变量和证据关系可以概括为：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研究变量</w:t>
            </w:r>
          </w:p>
        </w:tc>
        <w:tc>
          <w:tcPr>
            <w:tcW w:w="4148" w:type="dxa"/>
            <w:shd w:val="clear" w:color="auto" w:fill="C5E0B3" w:themeFill="accent6" w:themeFillTint="66"/>
          </w:tcPr>
          <w:p>
            <w:pPr>
              <w:pStyle w:val="a"/>
              <w:jc w:val="left"/>
              <w:ind w:firstLine="0"/>
            </w:pPr>
            <w:r>
              <w:rPr>
                <w:b/>
              </w:rPr>
              <w:t>文献中已讨论的现象</w:t>
            </w:r>
          </w:p>
        </w:tc>
        <w:tc>
          <w:tcPr>
            <w:tcW w:w="4148" w:type="dxa"/>
            <w:shd w:val="clear" w:color="auto" w:fill="C5E0B3" w:themeFill="accent6" w:themeFillTint="66"/>
          </w:tcPr>
          <w:p>
            <w:pPr>
              <w:pStyle w:val="a"/>
              <w:jc w:val="left"/>
              <w:ind w:firstLine="0"/>
            </w:pPr>
            <w:r>
              <w:t>本课题考察内容</w:t>
            </w:r>
          </w:p>
        </w:tc>
      </w:tr>
      <w:tr>
        <w:tc>
          <w:tcPr>
            <w:tcW w:w="4148" w:type="dxa"/>
          </w:tcPr>
          <w:p>
            <w:pPr>
              <w:pStyle w:val="a"/>
              <w:jc w:val="left"/>
              <w:ind w:firstLine="0"/>
            </w:pPr>
            <w:r>
              <w:t>KL 方向/广义散度</w:t>
            </w:r>
          </w:p>
        </w:tc>
        <w:tc>
          <w:tcPr>
            <w:tcW w:w="4148" w:type="dxa"/>
          </w:tcPr>
          <w:p>
            <w:pPr>
              <w:pStyle w:val="a"/>
              <w:jc w:val="left"/>
              <w:ind w:firstLine="0"/>
            </w:pPr>
            <w:r>
              <w:t>mode-covering、mode-seeking、混合目标和样本方差</w:t>
            </w:r>
          </w:p>
        </w:tc>
        <w:tc>
          <w:tcPr>
            <w:tcW w:w="4148" w:type="dxa"/>
          </w:tcPr>
          <w:p>
            <w:pPr>
              <w:pStyle w:val="a"/>
              <w:jc w:val="left"/>
              <w:ind w:firstLine="0"/>
            </w:pPr>
            <w:r>
              <w:t>工具选择、参数生成、熵和训练稳定性</w:t>
            </w:r>
          </w:p>
        </w:tc>
      </w:tr>
      <w:tr>
        <w:tc>
          <w:tcPr>
            <w:tcW w:w="4148" w:type="dxa"/>
          </w:tcPr>
          <w:p>
            <w:pPr>
              <w:pStyle w:val="a"/>
              <w:jc w:val="left"/>
              <w:ind w:firstLine="0"/>
            </w:pPr>
            <w:r>
              <w:t>教师监督信息/估计方式</w:t>
            </w:r>
          </w:p>
        </w:tc>
        <w:tc>
          <w:tcPr>
            <w:tcW w:w="4148" w:type="dxa"/>
          </w:tcPr>
          <w:p>
            <w:pPr>
              <w:pStyle w:val="a"/>
              <w:jc w:val="left"/>
              <w:ind w:firstLine="0"/>
            </w:pPr>
            <w:r>
              <w:t>全词表信息完整、Top-K 反馈压缩、K1 单样本估计</w:t>
            </w:r>
          </w:p>
        </w:tc>
        <w:tc>
          <w:tcPr>
            <w:tcW w:w="4148" w:type="dxa"/>
          </w:tcPr>
          <w:p>
            <w:pPr>
              <w:pStyle w:val="a"/>
              <w:jc w:val="left"/>
              <w:ind w:firstLine="0"/>
            </w:pPr>
            <w:r>
              <w:t>反馈量、显存/时延、任务指标和失败类型</w:t>
            </w:r>
          </w:p>
        </w:tc>
      </w:tr>
      <w:tr>
        <w:tc>
          <w:tcPr>
            <w:tcW w:w="4148" w:type="dxa"/>
          </w:tcPr>
          <w:p>
            <w:pPr>
              <w:pStyle w:val="a"/>
              <w:jc w:val="left"/>
              <w:ind w:firstLine="0"/>
            </w:pPr>
            <w:r>
              <w:t>学生 on-policy 状态</w:t>
            </w:r>
          </w:p>
        </w:tc>
        <w:tc>
          <w:tcPr>
            <w:tcW w:w="4148" w:type="dxa"/>
          </w:tcPr>
          <w:p>
            <w:pPr>
              <w:pStyle w:val="a"/>
              <w:jc w:val="left"/>
              <w:ind w:firstLine="0"/>
            </w:pPr>
            <w:r>
              <w:t>自生成错误、前缀漂移和状态覆盖</w:t>
            </w:r>
          </w:p>
        </w:tc>
        <w:tc>
          <w:tcPr>
            <w:tcW w:w="4148" w:type="dxa"/>
          </w:tcPr>
          <w:p>
            <w:pPr>
              <w:pStyle w:val="a"/>
              <w:jc w:val="left"/>
              <w:ind w:firstLine="0"/>
            </w:pPr>
            <w:r>
              <w:t>非法结构、错误恢复和端到端调用结果</w:t>
            </w:r>
          </w:p>
        </w:tc>
      </w:tr>
      <w:tr>
        <w:tc>
          <w:tcPr>
            <w:tcW w:w="4148" w:type="dxa"/>
          </w:tcPr>
          <w:p>
            <w:pPr>
              <w:pStyle w:val="a"/>
              <w:jc w:val="left"/>
              <w:ind w:firstLine="0"/>
            </w:pPr>
            <w:r>
              <w:t>任务接口</w:t>
            </w:r>
          </w:p>
        </w:tc>
        <w:tc>
          <w:tcPr>
            <w:tcW w:w="4148" w:type="dxa"/>
          </w:tcPr>
          <w:p>
            <w:pPr>
              <w:pStyle w:val="a"/>
              <w:jc w:val="left"/>
              <w:ind w:firstLine="0"/>
            </w:pPr>
            <w:r>
              <w:t>schema、工具执行和多轮交互</w:t>
            </w:r>
          </w:p>
        </w:tc>
        <w:tc>
          <w:tcPr>
            <w:tcW w:w="4148" w:type="dxa"/>
          </w:tcPr>
          <w:p>
            <w:pPr>
              <w:pStyle w:val="a"/>
              <w:jc w:val="left"/>
              <w:ind w:firstLine="0"/>
            </w:pPr>
            <w:r>
              <w:t>格式、函数、参数、执行和端到端成功</w:t>
            </w:r>
          </w:p>
        </w:tc>
      </w:tr>
    </w:tbl>
    <w:p>
      <w:pPr>
        <w:pStyle w:val="1"/>
      </w:pPr>
      <w:r>
        <w:rPr>
          <w:rFonts w:ascii="SimHei" w:hAnsi="SimHei" w:eastAsia="黑体" w:cs="SimHei"/>
          <w:color w:val="000000"/>
        </w:rPr>
        <w:t>3．主要研究内容</w:t>
      </w:r>
    </w:p>
    <w:p>
      <w:pPr>
        <w:pStyle w:val="2"/>
      </w:pPr>
      <w:r>
        <w:rPr>
          <w:rFonts w:ascii="SimHei" w:hAnsi="SimHei" w:eastAsia="黑体" w:cs="SimHei"/>
          <w:color w:val="000000"/>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pPr>
        <w:pStyle w:val="2"/>
      </w:pPr>
      <w:r>
        <w:rPr>
          <w:rFonts w:ascii="SimHei" w:hAnsi="SimHei" w:eastAsia="黑体" w:cs="SimHei"/>
          <w:color w:val="000000"/>
        </w:rPr>
        <w:t>3.2 三类散度目标</w:t>
      </w:r>
    </w:p>
    <w:p>
      <w:pPr>
        <w:pStyle w:val="a"/>
        <w:jc w:val="both"/>
        <w:ind w:firstLine="420"/>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pPr>
        <w:pStyle w:val="2"/>
      </w:pPr>
      <w:r>
        <w:rPr>
          <w:rFonts w:ascii="SimHei" w:hAnsi="SimHei" w:eastAsia="黑体" w:cs="SimHei"/>
          <w:color w:val="000000"/>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K1 sampled-token：从教师分布采样一个 token，对相应期望进行单样本估计，并分析其估计方差；该方法与 Top-1 argmax 硬标签监督分别记录。</w:t>
      </w:r>
    </w:p>
    <w:p>
      <w:pPr>
        <w:pStyle w:val="a"/>
        <w:jc w:val="both"/>
        <w:ind w:firstLine="420"/>
      </w:pPr>
      <w:r>
        <w:t>Top-K 统一规定支持集构造、归一化和支持集外概率处理，K1 统一规定 proposal、梯度估计和随机种子管理。比较内容包括 Function Calling 的格式、函数选择、参数与执行结果，以及训练稳定性和资源开销。</w:t>
      </w:r>
    </w:p>
    <w:p>
      <w:pPr>
        <w:pStyle w:val="2"/>
      </w:pPr>
      <w:r>
        <w:rPr>
          <w:rFonts w:ascii="SimHei" w:hAnsi="SimHei" w:eastAsia="黑体" w:cs="SimHei"/>
          <w:color w:val="000000"/>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pPr>
        <w:pStyle w:val="a"/>
        <w:jc w:val="both"/>
        <w:ind w:firstLine="420"/>
      </w:pPr>
      <w:r>
        <w:t>LoRA 用于控制可训练参数规模，使多个蒸馏方案从相同的学生基座出发。实验分别记录 LoRA adapter 的保存、加载与合并方式，以及部署后端中的加载配置，从而区分训练参数变化和服务加载方式带来的影响。</w:t>
      </w:r>
    </w:p>
    <w:p>
      <w:pPr>
        <w:pStyle w:val="2"/>
      </w:pPr>
      <w:r>
        <w:rPr>
          <w:rFonts w:ascii="SimHei" w:hAnsi="SimHei" w:eastAsia="黑体" w:cs="SimHei"/>
          <w:color w:val="000000"/>
        </w:rPr>
        <w:t>3.5 Function Calling 评测与推理性能分析</w:t>
      </w:r>
    </w:p>
    <w:p>
      <w:pPr>
        <w:pStyle w:val="a"/>
        <w:jc w:val="both"/>
        <w:ind w:firstLine="420"/>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pPr>
        <w:pStyle w:val="2"/>
      </w:pPr>
      <w:r>
        <w:rPr>
          <w:rFonts w:ascii="SimHei" w:hAnsi="SimHei" w:eastAsia="黑体" w:cs="SimHei"/>
          <w:color w:val="000000"/>
        </w:rPr>
        <w:t>3.6 研究问题</w:t>
      </w:r>
    </w:p>
    <w:p>
      <w:pPr>
        <w:pStyle w:val="a"/>
        <w:jc w:val="both"/>
        <w:ind w:firstLine="420"/>
      </w:pPr>
      <w:r>
        <w:t>本课题将回答以下问题：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不同蒸馏目标在任务正确率、训练效率和推理性能上的变化是否一致？</w:t>
      </w:r>
    </w:p>
    <w:p>
      <w:pPr>
        <w:pStyle w:val="a"/>
        <w:jc w:val="both"/>
        <w:ind w:firstLine="420"/>
      </w:pPr>
      <w:r>
        <w:t>上述研究问题构成实验设计、结果分析和论文讨论的主线。</w:t>
      </w:r>
    </w:p>
    <w:p>
      <w:pPr>
        <w:pStyle w:val="2"/>
      </w:pPr>
      <w:r>
        <w:rPr>
          <w:rFonts w:ascii="SimHei" w:hAnsi="SimHei" w:eastAsia="黑体" w:cs="SimHei"/>
          <w:color w:val="000000"/>
        </w:rPr>
        <w:t>3.7 各研究内容之间的关系</w:t>
      </w:r>
    </w:p>
    <w:p>
      <w:pPr>
        <w:pStyle w:val="a"/>
        <w:jc w:val="both"/>
        <w:ind w:firstLine="420"/>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pPr>
        <w:pStyle w:val="a"/>
        <w:jc w:val="both"/>
        <w:ind w:firstLine="420"/>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pPr>
        <w:pStyle w:val="1"/>
      </w:pPr>
      <w:r>
        <w:rPr>
          <w:rFonts w:ascii="SimHei" w:hAnsi="SimHei" w:eastAsia="黑体" w:cs="SimHei"/>
          <w:color w:val="000000"/>
        </w:rPr>
        <w:t>4．研究方案</w:t>
      </w:r>
    </w:p>
    <w:p>
      <w:pPr>
        <w:pStyle w:val="2"/>
      </w:pPr>
      <w:r>
        <w:rPr>
          <w:rFonts w:ascii="SimHei" w:hAnsi="SimHei" w:eastAsia="黑体" w:cs="SimHei"/>
          <w:color w:val="000000"/>
        </w:rPr>
        <w:t>4.1 总体技术路线</w:t>
      </w:r>
    </w:p>
    <w:p>
      <w:pPr>
        <w:pStyle w:val="a"/>
        <w:jc w:val="both"/>
        <w:ind w:firstLine="420"/>
      </w:pPr>
      <w:r>
        <w:t>研究路线如下：</w:t>
      </w:r>
    </w:p>
    <w:p>
      <w:pPr>
        <w:pStyle w:val="a"/>
        <w:jc w:val="both"/>
        <w:ind w:firstLine="420"/>
      </w:pPr>
      <w:r>
        <w:t>总体路线由模型与数据准备、SFT 基线、在线策略蒸馏、统一评测和结果分析组成。实验配置记录模型版本、数据版本、损失定义、支持集协议、训练参数和评测脚本。</w:t>
      </w:r>
    </w:p>
    <w:p>
      <w:pPr>
        <w:pStyle w:val="a"/>
        <w:jc w:val="both"/>
        <w:ind w:firstLine="420"/>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pPr>
        <w:pStyle w:val="2"/>
      </w:pPr>
      <w:r>
        <w:rPr>
          <w:rFonts w:ascii="SimHei" w:hAnsi="SimHei" w:eastAsia="黑体" w:cs="SimHei"/>
          <w:color w:val="000000"/>
        </w:rPr>
        <w:t>4.2 模型和数据准备</w:t>
      </w:r>
    </w:p>
    <w:p>
      <w:pPr>
        <w:pStyle w:val="a"/>
        <w:jc w:val="both"/>
        <w:ind w:firstLine="420"/>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pPr>
        <w:pStyle w:val="a"/>
        <w:jc w:val="both"/>
        <w:ind w:firstLine="420"/>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pPr>
        <w:pStyle w:val="a"/>
        <w:jc w:val="both"/>
        <w:ind w:firstLine="420"/>
      </w:pPr>
      <w:r>
        <w:t>数据审计重点处理三类异常：schema 语法错误、参数标签与用户意图不一致、工具返回缺失或格式不统一。评测器保存原始样本、规范化样本和失败原因，并对自动规则进行抽样复核。</w:t>
      </w:r>
    </w:p>
    <w:p>
      <w:pPr>
        <w:pStyle w:val="2"/>
      </w:pPr>
      <w:r>
        <w:rPr>
          <w:rFonts w:ascii="SimHei" w:hAnsi="SimHei" w:eastAsia="黑体" w:cs="SimHei"/>
          <w:color w:val="000000"/>
        </w:rPr>
        <w:t>4.3 学生 rollout 和教师反馈</w:t>
      </w:r>
    </w:p>
    <w:p>
      <w:pPr>
        <w:pStyle w:val="a"/>
        <w:jc w:val="both"/>
        <w:ind w:firstLine="420"/>
      </w:pPr>
      <w:r>
        <w:t>学生 rollout 的温度、停止条件、最大生成长度、非法格式处理和重试规则均作为控制变量写入配置，所有比较组使用相同的采样与后处理协议。</w:t>
      </w:r>
    </w:p>
    <w:p>
      <w:pPr>
        <w:pStyle w:val="a"/>
        <w:jc w:val="both"/>
        <w:ind w:firstLine="420"/>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函数、参数、执行和端到端调用结果</w:t>
            </w:r>
          </w:p>
        </w:tc>
      </w:tr>
    </w:tbl>
    <w:p>
      <w:pPr>
        <w:pStyle w:val="a"/>
        <w:jc w:val="both"/>
        <w:ind w:firstLine="420"/>
      </w:pPr>
      <w:r>
        <w:t>所有方法共享数据读取、学生 rollout、教师评分和指标记录接口，保证不同对照组只改变目标函数或监督信息粒度。</w:t>
      </w:r>
    </w:p>
    <w:p>
      <w:pPr>
        <w:pStyle w:val="2"/>
      </w:pPr>
      <w:r>
        <w:rPr>
          <w:rFonts w:ascii="SimHei" w:hAnsi="SimHei" w:eastAsia="黑体" w:cs="SimHei"/>
          <w:color w:val="000000"/>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表示由消息、工具边界和响应位置共同确定的有效 token 掩码。概率计算采用 log-sum-exp、概率下界和混合精度控制避免数值溢出。K1 sampled-token 使用单独定义的采样估计器，并记录随机种子与估计方差。</w:t>
      </w:r>
    </w:p>
    <w:p>
      <w:pPr>
        <w:pStyle w:val="a"/>
        <w:jc w:val="both"/>
        <w:ind w:firstLine="420"/>
      </w:pPr>
      <w:r>
        <w:t>监督信息粒度与散度目标的比较矩阵如下：</w:t>
      </w:r>
    </w:p>
    <w:tbl>
      <w:tblPr>
        <w:tblStyle w:val="a9"/>
        <w:tblW w:w="0" w:type="auto"/>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C5E0B3" w:themeFill="accent6" w:themeFillTint="66"/>
          </w:tcPr>
          <w:p>
            <w:pPr>
              <w:pStyle w:val="a"/>
              <w:jc w:val="left"/>
              <w:ind w:firstLine="0"/>
            </w:pPr>
            <w:r>
              <w:rPr>
                <w:b/>
              </w:rPr>
              <w:t>监督信息粒度/估计方式</w:t>
            </w:r>
          </w:p>
        </w:tc>
        <w:tc>
          <w:tcPr>
            <w:tcW w:w="4148" w:type="dxa"/>
            <w:shd w:val="clear" w:color="auto" w:fill="C5E0B3" w:themeFill="accent6" w:themeFillTint="66"/>
          </w:tcPr>
          <w:p>
            <w:pPr>
              <w:pStyle w:val="a"/>
              <w:jc w:val="left"/>
              <w:ind w:firstLine="0"/>
            </w:pPr>
            <w:r>
              <w:rPr>
                <w:b/>
              </w:rPr>
              <w:t>Forward KL</w:t>
            </w:r>
          </w:p>
        </w:tc>
        <w:tc>
          <w:tcPr>
            <w:tcW w:w="4148" w:type="dxa"/>
            <w:shd w:val="clear" w:color="auto" w:fill="C5E0B3" w:themeFill="accent6" w:themeFillTint="66"/>
          </w:tcPr>
          <w:p>
            <w:pPr>
              <w:pStyle w:val="a"/>
              <w:jc w:val="left"/>
              <w:ind w:firstLine="0"/>
            </w:pPr>
            <w:r>
              <w:rPr>
                <w:b/>
              </w:rPr>
              <w:t>Reverse KL</w:t>
            </w:r>
          </w:p>
        </w:tc>
        <w:tc>
          <w:tcPr>
            <w:tcW w:w="4148" w:type="dxa"/>
            <w:shd w:val="clear" w:color="auto" w:fill="C5E0B3" w:themeFill="accent6" w:themeFillTint="66"/>
          </w:tcPr>
          <w:p>
            <w:pPr>
              <w:pStyle w:val="a"/>
              <w:jc w:val="left"/>
              <w:ind w:firstLine="0"/>
            </w:pPr>
            <w:r>
              <w:rPr>
                <w:b/>
              </w:rPr>
              <w:t>广义散度</w:t>
            </w:r>
          </w:p>
        </w:tc>
        <w:tc>
          <w:tcPr>
            <w:tcW w:w="4148" w:type="dxa"/>
            <w:shd w:val="clear" w:color="auto" w:fill="C5E0B3" w:themeFill="accent6" w:themeFillTint="66"/>
          </w:tcPr>
          <w:p>
            <w:pPr>
              <w:pStyle w:val="a"/>
              <w:jc w:val="left"/>
              <w:ind w:firstLine="0"/>
            </w:pPr>
            <w:r>
              <w:t>说明</w:t>
            </w:r>
          </w:p>
        </w:tc>
      </w:tr>
      <w:tr>
        <w:tc>
          <w:tcPr>
            <w:tcW w:w="4148" w:type="dxa"/>
          </w:tcPr>
          <w:p>
            <w:pPr>
              <w:pStyle w:val="a"/>
              <w:jc w:val="left"/>
              <w:ind w:firstLine="0"/>
            </w:pPr>
            <w:r>
              <w:t>全词表</w:t>
            </w:r>
          </w:p>
        </w:tc>
        <w:tc>
          <w:tcPr>
            <w:tcW w:w="4148" w:type="dxa"/>
          </w:tcPr>
          <w:p>
            <w:pPr>
              <w:pStyle w:val="a"/>
              <w:jc w:val="left"/>
              <w:ind w:firstLine="0"/>
            </w:pPr>
            <w:r>
              <w:t>E01</w:t>
            </w:r>
          </w:p>
        </w:tc>
        <w:tc>
          <w:tcPr>
            <w:tcW w:w="4148" w:type="dxa"/>
          </w:tcPr>
          <w:p>
            <w:pPr>
              <w:pStyle w:val="a"/>
              <w:jc w:val="left"/>
              <w:ind w:firstLine="0"/>
            </w:pPr>
            <w:r>
              <w:t>E04</w:t>
            </w:r>
          </w:p>
        </w:tc>
        <w:tc>
          <w:tcPr>
            <w:tcW w:w="4148" w:type="dxa"/>
          </w:tcPr>
          <w:p>
            <w:pPr>
              <w:pStyle w:val="a"/>
              <w:jc w:val="left"/>
              <w:ind w:firstLine="0"/>
            </w:pPr>
            <w:r>
              <w:t>E07</w:t>
            </w:r>
          </w:p>
        </w:tc>
        <w:tc>
          <w:tcPr>
            <w:tcW w:w="4148" w:type="dxa"/>
          </w:tcPr>
          <w:p>
            <w:pPr>
              <w:pStyle w:val="a"/>
              <w:jc w:val="left"/>
              <w:ind w:firstLine="0"/>
            </w:pPr>
            <w:r>
              <w:t>纳入对比</w:t>
            </w:r>
          </w:p>
        </w:tc>
      </w:tr>
      <w:tr>
        <w:tc>
          <w:tcPr>
            <w:tcW w:w="4148" w:type="dxa"/>
          </w:tcPr>
          <w:p>
            <w:pPr>
              <w:pStyle w:val="a"/>
              <w:jc w:val="left"/>
              <w:ind w:firstLine="0"/>
            </w:pPr>
            <w:r>
              <w:t>Top-K</w:t>
            </w:r>
          </w:p>
        </w:tc>
        <w:tc>
          <w:tcPr>
            <w:tcW w:w="4148" w:type="dxa"/>
          </w:tcPr>
          <w:p>
            <w:pPr>
              <w:pStyle w:val="a"/>
              <w:jc w:val="left"/>
              <w:ind w:firstLine="0"/>
            </w:pPr>
            <w:r>
              <w:t>E02</w:t>
            </w:r>
          </w:p>
        </w:tc>
        <w:tc>
          <w:tcPr>
            <w:tcW w:w="4148" w:type="dxa"/>
          </w:tcPr>
          <w:p>
            <w:pPr>
              <w:pStyle w:val="a"/>
              <w:jc w:val="left"/>
              <w:ind w:firstLine="0"/>
            </w:pPr>
            <w:r>
              <w:t>E05</w:t>
            </w:r>
          </w:p>
        </w:tc>
        <w:tc>
          <w:tcPr>
            <w:tcW w:w="4148" w:type="dxa"/>
          </w:tcPr>
          <w:p>
            <w:pPr>
              <w:pStyle w:val="a"/>
              <w:jc w:val="left"/>
              <w:ind w:firstLine="0"/>
            </w:pPr>
            <w:r>
              <w:t>E08</w:t>
            </w:r>
          </w:p>
        </w:tc>
        <w:tc>
          <w:tcPr>
            <w:tcW w:w="4148" w:type="dxa"/>
          </w:tcPr>
          <w:p>
            <w:pPr>
              <w:pStyle w:val="a"/>
              <w:jc w:val="left"/>
              <w:ind w:firstLine="0"/>
            </w:pPr>
            <w:r>
              <w:t>纳入对比</w:t>
            </w:r>
          </w:p>
        </w:tc>
      </w:tr>
      <w:tr>
        <w:tc>
          <w:tcPr>
            <w:tcW w:w="4148" w:type="dxa"/>
          </w:tcPr>
          <w:p>
            <w:pPr>
              <w:pStyle w:val="a"/>
              <w:jc w:val="left"/>
              <w:ind w:firstLine="0"/>
            </w:pPr>
            <w:r>
              <w:t>K1 sampled-token</w:t>
            </w:r>
          </w:p>
        </w:tc>
        <w:tc>
          <w:tcPr>
            <w:tcW w:w="4148" w:type="dxa"/>
          </w:tcPr>
          <w:p>
            <w:pPr>
              <w:pStyle w:val="a"/>
              <w:jc w:val="left"/>
              <w:ind w:firstLine="0"/>
            </w:pPr>
            <w:r>
              <w:t>E03</w:t>
            </w:r>
          </w:p>
        </w:tc>
        <w:tc>
          <w:tcPr>
            <w:tcW w:w="4148" w:type="dxa"/>
          </w:tcPr>
          <w:p>
            <w:pPr>
              <w:pStyle w:val="a"/>
              <w:jc w:val="left"/>
              <w:ind w:firstLine="0"/>
            </w:pPr>
            <w:r>
              <w:t>E06</w:t>
            </w:r>
          </w:p>
        </w:tc>
        <w:tc>
          <w:tcPr>
            <w:tcW w:w="4148" w:type="dxa"/>
          </w:tcPr>
          <w:p>
            <w:pPr>
              <w:pStyle w:val="a"/>
              <w:jc w:val="left"/>
              <w:ind w:firstLine="0"/>
            </w:pPr>
            <w:r>
              <w:t>E09</w:t>
            </w:r>
          </w:p>
        </w:tc>
        <w:tc>
          <w:tcPr>
            <w:tcW w:w="4148" w:type="dxa"/>
          </w:tcPr>
          <w:p>
            <w:pPr>
              <w:pStyle w:val="a"/>
              <w:jc w:val="left"/>
              <w:ind w:firstLine="0"/>
            </w:pPr>
            <w:r>
              <w:t>纳入对比</w:t>
            </w:r>
          </w:p>
        </w:tc>
      </w:tr>
    </w:tbl>
    <w:p>
      <w:pPr>
        <w:pStyle w:val="a"/>
        <w:jc w:val="both"/>
        <w:ind w:firstLine="420"/>
      </w:pPr>
      <w:r>
        <w:t>比较矩阵覆盖三类目标函数和三种监督方案。各实验使用统一的数据、训练预算和评测协议，并在配置中记录损失形式、K 值、支持集、重归一化、K1 proposal、梯度估计和数值精度。</w:t>
      </w:r>
    </w:p>
    <w:p>
      <w:pPr>
        <w:pStyle w:val="a"/>
        <w:jc w:val="both"/>
        <w:ind w:firstLine="420"/>
      </w:pPr>
      <w:r>
        <w:t>三种监督方案和广义散度的名称定义如下：</w:t>
      </w:r>
    </w:p>
    <w:p>
      <w:pPr>
        <w:pStyle w:val="a8"/>
        <w:jc w:val="left"/>
        <w:ind w:firstLine="420"/>
      </w:pPr>
      <w:r>
        <w:t>• “全词表”表示教师完整输出在规定有效位置上参与分布匹配；工程实现可采用分块计算或流式处理。</w:t>
      </w:r>
    </w:p>
    <w:p>
      <w:pPr>
        <w:pStyle w:val="a8"/>
        <w:jc w:val="left"/>
        <w:ind w:firstLine="420"/>
      </w:pPr>
      <w:r>
        <w:t>• “Top-K”表示使用明确的高概率 token 支持集，并记录支持集来源、重归一化和支持集外概率处理。</w:t>
      </w:r>
    </w:p>
    <w:p>
      <w:pPr>
        <w:pStyle w:val="a8"/>
        <w:jc w:val="left"/>
        <w:ind w:firstLine="420"/>
      </w:pPr>
      <w:r>
        <w:t>• “K1 sampled-token”表示每个位置使用一个采样 token 估计相应期望，与选择最大概率 token 的硬标签方法分开记录。</w:t>
      </w:r>
    </w:p>
    <w:p>
      <w:pPr>
        <w:pStyle w:val="a8"/>
        <w:jc w:val="left"/>
        <w:ind w:firstLine="420"/>
      </w:pPr>
      <w:r>
        <w:t>• “广义散度”分析 JSD、skew KL 等代表性目标，并在实验配置中记录具体公式、混合参数和梯度计算规则。</w:t>
      </w:r>
    </w:p>
    <w:p>
      <w:pPr>
        <w:pStyle w:val="a"/>
        <w:jc w:val="both"/>
        <w:ind w:firstLine="420"/>
      </w:pPr>
      <w:r>
        <w:t>师生词表、token 边界和特殊 token 需要保持可对齐。正式训练前通过 tokenizer 单元测试、模板回环测试和小批量损失/梯度测试验证对数概率、Mask、padding 和梯度传播的正确性。</w:t>
      </w:r>
    </w:p>
    <w:p>
      <w:pPr>
        <w:pStyle w:val="2"/>
      </w:pPr>
      <w:r>
        <w:rPr>
          <w:rFonts w:ascii="SimHei" w:hAnsi="SimHei" w:eastAsia="黑体" w:cs="SimHei"/>
          <w:color w:val="000000"/>
        </w:rPr>
        <w:t>4.5 评价指标和公平性</w:t>
      </w:r>
    </w:p>
    <w:p>
      <w:pPr>
        <w:pStyle w:val="a"/>
        <w:jc w:val="both"/>
        <w:ind w:firstLine="420"/>
      </w:pPr>
      <w:r>
        <w:t>评价指标分为任务效果、训练稳定性、分布与误差分析、资源与部署四类：</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通过率、调用执行成功率、端到端任务完成率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pPr>
        <w:pStyle w:val="a"/>
        <w:jc w:val="both"/>
        <w:ind w:firstLine="420"/>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pPr>
        <w:pStyle w:val="a"/>
        <w:jc w:val="both"/>
        <w:ind w:firstLine="420"/>
      </w:pPr>
      <w:r>
        <w:t>结果分析报告完整训练曲线、验证与测试统计、重复运行波动和资源消耗。失败案例按照工具选择、结构解析、参数字段、参数值、上下文和执行环节分类，并比较不同散度和监督方案的错误分布。</w:t>
      </w:r>
    </w:p>
    <w:p>
      <w:pPr>
        <w:pStyle w:val="2"/>
      </w:pPr>
      <w:r>
        <w:rPr>
          <w:rFonts w:ascii="SimHei" w:hAnsi="SimHei" w:eastAsia="黑体" w:cs="SimHei"/>
          <w:color w:val="000000"/>
        </w:rPr>
        <w:t>4.6 可行性和风险控制</w:t>
      </w:r>
    </w:p>
    <w:p>
      <w:pPr>
        <w:pStyle w:val="a"/>
        <w:jc w:val="both"/>
        <w:ind w:firstLine="420"/>
      </w:pPr>
      <w:r>
        <w:t>Qwen3-0.6B 学生、Qwen3-4B 教师和 LoRA 后训练构成可实施的模型组合，PyTorch、Transformers、PEFT 与 vLLM 提供训练和部署基础。教师在线前向与全词表分布是主要资源压力，实验将通过短序列验证、小批量训练、梯度累积、混合精度、教师输出缓存和分块计算控制资源开销。</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t>解决措施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训练前审计并记录版本，通过对齐测试统一蒸馏输入。</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的反馈量，采用分块计算、缓存和梯度累积控制资源开销。</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指标与端到端调用结果不一致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推理后端兼容性问题</w:t>
            </w:r>
          </w:p>
        </w:tc>
        <w:tc>
          <w:tcPr>
            <w:tcW w:w="4148" w:type="dxa"/>
          </w:tcPr>
          <w:p>
            <w:pPr>
              <w:pStyle w:val="a"/>
              <w:jc w:val="left"/>
              <w:ind w:firstLine="0"/>
            </w:pPr>
            <w:r>
              <w:t>先完成最小推理验证，再固定 vLLM 或自建测试程序的版本、加载方式和测量参数。</w:t>
            </w:r>
          </w:p>
        </w:tc>
      </w:tr>
    </w:tbl>
    <w:p>
      <w:pPr>
        <w:pStyle w:val="2"/>
      </w:pPr>
      <w:r>
        <w:rPr>
          <w:rFonts w:ascii="SimHei" w:hAnsi="SimHei" w:eastAsia="黑体" w:cs="SimHei"/>
          <w:color w:val="000000"/>
        </w:rPr>
        <w:t>4.7 Top-K 稳定化拓展</w:t>
      </w:r>
    </w:p>
    <w:p>
      <w:pPr>
        <w:pStyle w:val="a"/>
        <w:jc w:val="both"/>
        <w:ind w:firstLine="420"/>
      </w:pPr>
      <w:r>
        <w:t>完成主要比较后，将进一步考察 Top-K 支持集修复和损失截断方法，包括师生高概率集合并集、残余概率质量保留和极端概率比裁剪，用于分析截断监督的稳定性。</w:t>
      </w:r>
    </w:p>
    <w:p>
      <w:pPr>
        <w:pStyle w:val="1"/>
      </w:pPr>
      <w:r>
        <w:rPr>
          <w:rFonts w:ascii="SimHei" w:hAnsi="SimHei" w:eastAsia="黑体" w:cs="SimHei"/>
          <w:color w:val="000000"/>
        </w:rPr>
        <w:t>5．进度安排，预期达到的目标</w:t>
      </w:r>
    </w:p>
    <w:p>
      <w:pPr>
        <w:pStyle w:val="2"/>
      </w:pPr>
      <w:r>
        <w:rPr>
          <w:rFonts w:ascii="SimHei" w:hAnsi="SimHei" w:eastAsia="黑体" w:cs="SimHei"/>
          <w:color w:val="000000"/>
        </w:rPr>
        <w:t>5.1 进度安排</w:t>
      </w:r>
    </w:p>
    <w:p>
      <w:pPr>
        <w:pStyle w:val="a"/>
        <w:jc w:val="both"/>
        <w:ind w:firstLine="420"/>
      </w:pPr>
      <w:r>
        <w:t>项目按开题通过后的 16 周安排，进度如图 1 所示。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阶段</w:t>
            </w:r>
          </w:p>
        </w:tc>
        <w:tc>
          <w:tcPr>
            <w:tcW w:w="4148" w:type="dxa"/>
            <w:shd w:val="clear" w:color="auto" w:fill="C5E0B3" w:themeFill="accent6" w:themeFillTint="66"/>
          </w:tcPr>
          <w:p>
            <w:pPr>
              <w:pStyle w:val="a"/>
              <w:jc w:val="left"/>
              <w:ind w:firstLine="0"/>
            </w:pPr>
            <w:r>
              <w:rPr>
                <w:b/>
              </w:rPr>
              <w:t>计划内容</w:t>
            </w:r>
          </w:p>
        </w:tc>
        <w:tc>
          <w:tcPr>
            <w:tcW w:w="4148" w:type="dxa"/>
            <w:shd w:val="clear" w:color="auto" w:fill="C5E0B3" w:themeFill="accent6" w:themeFillTint="66"/>
          </w:tcPr>
          <w:p>
            <w:pPr>
              <w:pStyle w:val="a"/>
              <w:jc w:val="left"/>
              <w:ind w:firstLine="0"/>
            </w:pPr>
            <w:r>
              <w:rPr>
                <w:b/>
              </w:rPr>
              <w:t>预期材料</w:t>
            </w:r>
          </w:p>
        </w:tc>
      </w:tr>
      <w:tr>
        <w:tc>
          <w:tcPr>
            <w:tcW w:w="4148" w:type="dxa"/>
          </w:tcPr>
          <w:p>
            <w:pPr>
              <w:pStyle w:val="a"/>
              <w:jc w:val="left"/>
              <w:ind w:firstLine="0"/>
            </w:pPr>
            <w:r>
              <w:t>第一阶段</w:t>
            </w:r>
          </w:p>
        </w:tc>
        <w:tc>
          <w:tcPr>
            <w:tcW w:w="4148" w:type="dxa"/>
          </w:tcPr>
          <w:p>
            <w:pPr>
              <w:pStyle w:val="a"/>
              <w:jc w:val="left"/>
              <w:ind w:firstLine="0"/>
            </w:pPr>
            <w:r>
              <w:t>精读 OPD、KL 散度、LoRA、Function Calling 评测与推理性能文献，核验数据来源</w:t>
            </w:r>
          </w:p>
        </w:tc>
        <w:tc>
          <w:tcPr>
            <w:tcW w:w="4148" w:type="dxa"/>
          </w:tcPr>
          <w:p>
            <w:pPr>
              <w:pStyle w:val="a"/>
              <w:jc w:val="left"/>
              <w:ind w:firstLine="0"/>
            </w:pPr>
            <w:r>
              <w:t>文献导读、数据和模型核验记录</w:t>
            </w:r>
          </w:p>
        </w:tc>
      </w:tr>
      <w:tr>
        <w:tc>
          <w:tcPr>
            <w:tcW w:w="4148" w:type="dxa"/>
          </w:tcPr>
          <w:p>
            <w:pPr>
              <w:pStyle w:val="a"/>
              <w:jc w:val="left"/>
              <w:ind w:firstLine="0"/>
            </w:pPr>
            <w:r>
              <w:t>第二阶段</w:t>
            </w:r>
          </w:p>
        </w:tc>
        <w:tc>
          <w:tcPr>
            <w:tcW w:w="4148" w:type="dxa"/>
          </w:tcPr>
          <w:p>
            <w:pPr>
              <w:pStyle w:val="a"/>
              <w:jc w:val="left"/>
              <w:ind w:firstLine="0"/>
            </w:pPr>
            <w:r>
              <w:t>盘点软件、计算环境和模型接口，审计 tokenizer、模板和 schema</w:t>
            </w:r>
          </w:p>
        </w:tc>
        <w:tc>
          <w:tcPr>
            <w:tcW w:w="4148" w:type="dxa"/>
          </w:tcPr>
          <w:p>
            <w:pPr>
              <w:pStyle w:val="a"/>
              <w:jc w:val="left"/>
              <w:ind w:firstLine="0"/>
            </w:pPr>
            <w:r>
              <w:t>环境记录、兼容性分析</w:t>
            </w:r>
          </w:p>
        </w:tc>
      </w:tr>
      <w:tr>
        <w:tc>
          <w:tcPr>
            <w:tcW w:w="4148" w:type="dxa"/>
          </w:tcPr>
          <w:p>
            <w:pPr>
              <w:pStyle w:val="a"/>
              <w:jc w:val="left"/>
              <w:ind w:firstLine="0"/>
            </w:pPr>
            <w:r>
              <w:t>第三阶段</w:t>
            </w:r>
          </w:p>
        </w:tc>
        <w:tc>
          <w:tcPr>
            <w:tcW w:w="4148" w:type="dxa"/>
          </w:tcPr>
          <w:p>
            <w:pPr>
              <w:pStyle w:val="a"/>
              <w:jc w:val="left"/>
              <w:ind w:firstLine="0"/>
            </w:pPr>
            <w:r>
              <w:t>完成数据清洗、划分原则、评测器和 OPD 接口设计</w:t>
            </w:r>
          </w:p>
        </w:tc>
        <w:tc>
          <w:tcPr>
            <w:tcW w:w="4148" w:type="dxa"/>
          </w:tcPr>
          <w:p>
            <w:pPr>
              <w:pStyle w:val="a"/>
              <w:jc w:val="left"/>
              <w:ind w:firstLine="0"/>
            </w:pPr>
            <w:r>
              <w:t>数据说明、接口草案、测试设计</w:t>
            </w:r>
          </w:p>
        </w:tc>
      </w:tr>
      <w:tr>
        <w:tc>
          <w:tcPr>
            <w:tcW w:w="4148" w:type="dxa"/>
          </w:tcPr>
          <w:p>
            <w:pPr>
              <w:pStyle w:val="a"/>
              <w:jc w:val="left"/>
              <w:ind w:firstLine="0"/>
            </w:pPr>
            <w:r>
              <w:t>第四阶段</w:t>
            </w:r>
          </w:p>
        </w:tc>
        <w:tc>
          <w:tcPr>
            <w:tcW w:w="4148" w:type="dxa"/>
          </w:tcPr>
          <w:p>
            <w:pPr>
              <w:pStyle w:val="a"/>
              <w:jc w:val="left"/>
              <w:ind w:firstLine="0"/>
            </w:pPr>
            <w:r>
              <w:t>实现并验证三类散度和三种监督信息粒度/估计方式的候选流程</w:t>
            </w:r>
          </w:p>
        </w:tc>
        <w:tc>
          <w:tcPr>
            <w:tcW w:w="4148" w:type="dxa"/>
          </w:tcPr>
          <w:p>
            <w:pPr>
              <w:pStyle w:val="a"/>
              <w:jc w:val="left"/>
              <w:ind w:firstLine="0"/>
            </w:pPr>
            <w:r>
              <w:t>数值/梯度测试和可行性日志</w:t>
            </w:r>
          </w:p>
        </w:tc>
      </w:tr>
      <w:tr>
        <w:tc>
          <w:tcPr>
            <w:tcW w:w="4148" w:type="dxa"/>
          </w:tcPr>
          <w:p>
            <w:pPr>
              <w:pStyle w:val="a"/>
              <w:jc w:val="left"/>
              <w:ind w:firstLine="0"/>
            </w:pPr>
            <w:r>
              <w:t>第五阶段</w:t>
            </w:r>
          </w:p>
        </w:tc>
        <w:tc>
          <w:tcPr>
            <w:tcW w:w="4148" w:type="dxa"/>
          </w:tcPr>
          <w:p>
            <w:pPr>
              <w:pStyle w:val="a"/>
              <w:jc w:val="left"/>
              <w:ind w:firstLine="0"/>
            </w:pPr>
            <w:r>
              <w:t>根据冻结协议进行主比较，记录效果、稳定性和资源指标</w:t>
            </w:r>
          </w:p>
        </w:tc>
        <w:tc>
          <w:tcPr>
            <w:tcW w:w="4148" w:type="dxa"/>
          </w:tcPr>
          <w:p>
            <w:pPr>
              <w:pStyle w:val="a"/>
              <w:jc w:val="left"/>
              <w:ind w:firstLine="0"/>
            </w:pPr>
            <w:r>
              <w:t>配置、原始日志、checkpoint 和指标</w:t>
            </w:r>
          </w:p>
        </w:tc>
      </w:tr>
      <w:tr>
        <w:tc>
          <w:tcPr>
            <w:tcW w:w="4148" w:type="dxa"/>
          </w:tcPr>
          <w:p>
            <w:pPr>
              <w:pStyle w:val="a"/>
              <w:jc w:val="left"/>
              <w:ind w:firstLine="0"/>
            </w:pPr>
            <w:r>
              <w:t>第六阶段</w:t>
            </w:r>
          </w:p>
        </w:tc>
        <w:tc>
          <w:tcPr>
            <w:tcW w:w="4148" w:type="dxa"/>
          </w:tcPr>
          <w:p>
            <w:pPr>
              <w:pStyle w:val="a"/>
              <w:jc w:val="left"/>
              <w:ind w:firstLine="0"/>
            </w:pPr>
            <w:r>
              <w:t>使用 vLLM 或自建测试程序进行最终测试，分析任务效果、吞吐、延迟和显存并撰写论文</w:t>
            </w:r>
          </w:p>
        </w:tc>
        <w:tc>
          <w:tcPr>
            <w:tcW w:w="4148" w:type="dxa"/>
          </w:tcPr>
          <w:p>
            <w:pPr>
              <w:pStyle w:val="a"/>
              <w:jc w:val="left"/>
              <w:ind w:firstLine="0"/>
            </w:pPr>
            <w:r>
              <w:t>性能数据、图表、论文和演示材料</w:t>
            </w:r>
          </w:p>
        </w:tc>
      </w:tr>
    </w:tbl>
    <w:p>
      <w:pPr>
        <w:spacing w:before="160" w:after="120"/>
        <w:jc w:val="center"/>
      </w:pPr>
      <w:r>
        <w:rPr>
          <w:rFonts w:ascii="Times New Roman" w:hAnsi="Times New Roman" w:eastAsia="宋体"/>
          <w:b w:val="0"/>
          <w:sz w:val="21"/>
        </w:rPr>
        <w:t>图 1  项目总体进度安排</w:t>
      </w:r>
    </w:p>
    <w:p>
      <w:pPr>
        <w:spacing w:after="160"/>
        <w:jc w:val="center"/>
      </w:pPr>
      <w:r>
        <w:drawing>
          <wp:inline xmlns:a="http://schemas.openxmlformats.org/drawingml/2006/main" xmlns:pic="http://schemas.openxmlformats.org/drawingml/2006/picture">
            <wp:extent cx="5623560" cy="2703635"/>
            <wp:docPr id="2" name="Picture 2"/>
            <wp:cNvGraphicFramePr>
              <a:graphicFrameLocks noChangeAspect="1"/>
            </wp:cNvGraphicFramePr>
            <a:graphic>
              <a:graphicData uri="http://schemas.openxmlformats.org/drawingml/2006/picture">
                <pic:pic>
                  <pic:nvPicPr>
                    <pic:cNvPr id="0" name="开题报告-项目甘特图.png"/>
                    <pic:cNvPicPr/>
                  </pic:nvPicPr>
                  <pic:blipFill>
                    <a:blip r:embed="rId14"/>
                    <a:stretch>
                      <a:fillRect/>
                    </a:stretch>
                  </pic:blipFill>
                  <pic:spPr>
                    <a:xfrm>
                      <a:off x="0" y="0"/>
                      <a:ext cx="5623560" cy="2703635"/>
                    </a:xfrm>
                    <a:prstGeom prst="rect"/>
                  </pic:spPr>
                </pic:pic>
              </a:graphicData>
            </a:graphic>
          </wp:inline>
        </w:drawing>
      </w:r>
    </w:p>
    <w:p>
      <w:pPr>
        <w:pStyle w:val="a"/>
        <w:jc w:val="both"/>
        <w:ind w:firstLine="420"/>
      </w:pPr>
      <w:r>
        <w:t>进度安排按照资料调研与数据准备、训练管线实现、对照实验、部署评测、结果分析和论文撰写依次展开。前期完成接口与短流程验证，中期开展统一配置下的正式实验，后期集中进行误差分析和论文整理。</w:t>
      </w:r>
    </w:p>
    <w:p>
      <w:pPr>
        <w:pStyle w:val="2"/>
      </w:pPr>
      <w:r>
        <w:rPr>
          <w:rFonts w:ascii="SimHei" w:hAnsi="SimHei" w:eastAsia="黑体" w:cs="SimHei"/>
          <w:color w:val="000000"/>
        </w:rPr>
        <w:t>5.2 预期达到的目标</w:t>
      </w:r>
    </w:p>
    <w:p>
      <w:pPr>
        <w:pStyle w:val="a8"/>
        <w:jc w:val="left"/>
        <w:ind w:firstLine="420"/>
      </w:pPr>
      <w:r>
        <w:t>1. 完成 Qwen3-0.6B 学生的 LoRA 在线策略蒸馏研究流程，使用冻结的 Qwen3-4B 作为教师。</w:t>
      </w:r>
    </w:p>
    <w:p>
      <w:pPr>
        <w:pStyle w:val="a8"/>
        <w:jc w:val="left"/>
        <w:ind w:firstLine="420"/>
      </w:pPr>
      <w:r>
        <w:t>2. 在公开 Function Calling 数据上比较 Forward KL、Reverse KL、广义散度，以及全词表、Top-K、K1 sampled-token。</w:t>
      </w:r>
    </w:p>
    <w:p>
      <w:pPr>
        <w:pStyle w:val="a8"/>
        <w:jc w:val="left"/>
        <w:ind w:firstLine="420"/>
      </w:pPr>
      <w:r>
        <w:t>3. 建立分层评测方法，分别分析格式、函数选择、参数生成、调用执行和端到端任务完成情况。</w:t>
      </w:r>
    </w:p>
    <w:p>
      <w:pPr>
        <w:pStyle w:val="a8"/>
        <w:jc w:val="left"/>
        <w:ind w:firstLine="420"/>
      </w:pPr>
      <w:r>
        <w:t>4. 记录不同方法的训练稳定性、教师反馈量、训练资源和部署表现。</w:t>
      </w:r>
    </w:p>
    <w:p>
      <w:pPr>
        <w:pStyle w:val="a8"/>
        <w:jc w:val="left"/>
        <w:ind w:firstLine="420"/>
      </w:pPr>
      <w:r>
        <w:t>5. 通过 vLLM 或自建测试程序完成最终模型验证，形成任务性能、训练资源和推理性能的对比结果。</w:t>
      </w:r>
    </w:p>
    <w:p>
      <w:pPr>
        <w:pStyle w:val="a8"/>
        <w:jc w:val="left"/>
        <w:ind w:firstLine="420"/>
      </w:pPr>
      <w:r>
        <w:t>6. 形成中文项目文档、实验记录、毕业论文和答辩材料。</w:t>
      </w:r>
    </w:p>
    <w:p>
      <w:pPr>
        <w:pStyle w:val="a"/>
        <w:jc w:val="both"/>
        <w:ind w:firstLine="420"/>
      </w:pPr>
      <w:r>
        <w:t>本课题的预期成果包括一套定义清晰的 OPD 方法与训练流程、一份公开数据和模型版本记录、一组能够解释方法差异的实验指标，以及一个可重复调用的最终测试流程。</w:t>
      </w:r>
    </w:p>
    <w:p>
      <w:pPr>
        <w:pStyle w:val="1"/>
      </w:pPr>
      <w:r>
        <w:rPr>
          <w:rFonts w:ascii="SimHei" w:hAnsi="SimHei" w:eastAsia="黑体" w:cs="SimHei"/>
          <w:color w:val="000000"/>
        </w:rPr>
        <w:t>6．课题已具备和所需的条件、经费</w:t>
      </w:r>
    </w:p>
    <w:p>
      <w:pPr>
        <w:pStyle w:val="2"/>
      </w:pPr>
      <w:r>
        <w:rPr>
          <w:rFonts w:ascii="SimHei" w:hAnsi="SimHei" w:eastAsia="黑体" w:cs="SimHei"/>
          <w:color w:val="000000"/>
        </w:rPr>
        <w:t>6.1 已具备条件</w:t>
      </w:r>
    </w:p>
    <w:p>
      <w:pPr>
        <w:pStyle w:val="a"/>
        <w:jc w:val="both"/>
        <w:ind w:firstLine="420"/>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pPr>
        <w:pStyle w:val="2"/>
      </w:pPr>
      <w:r>
        <w:rPr>
          <w:rFonts w:ascii="SimHei" w:hAnsi="SimHei" w:eastAsia="黑体" w:cs="SimHei"/>
          <w:color w:val="000000"/>
        </w:rPr>
        <w:t>6.2 所需条件</w:t>
      </w:r>
    </w:p>
    <w:p>
      <w:pPr>
        <w:pStyle w:val="a"/>
        <w:jc w:val="both"/>
        <w:ind w:firstLine="420"/>
      </w:pPr>
      <w:r>
        <w:t>软件环境包括 Python、PyTorch、Transformers、PEFT、Datasets 和 vLLM，硬件环境需支持 Qwen3-4B 教师推理、Qwen3-0.6B 学生 rollout 和 LoRA 更新。实验将根据可用显存配置序列长度、批量大小、梯度累积、混合精度和教师输出缓存。</w:t>
      </w:r>
    </w:p>
    <w:p>
      <w:pPr>
        <w:pStyle w:val="2"/>
      </w:pPr>
      <w:r>
        <w:rPr>
          <w:rFonts w:ascii="SimHei" w:hAnsi="SimHei" w:eastAsia="黑体" w:cs="SimHei"/>
          <w:color w:val="000000"/>
        </w:rPr>
        <w:t>6.3 经费</w:t>
      </w:r>
    </w:p>
    <w:p>
      <w:pPr>
        <w:pStyle w:val="a"/>
        <w:jc w:val="both"/>
        <w:ind w:firstLine="420"/>
      </w:pPr>
      <w:r>
        <w:t>本课题优先使用现有计算设备和公开软件、模型与数据；云计算、存储和网络资源按照实际实验需求配置，并记录环境、用途和消耗。</w:t>
      </w:r>
    </w:p>
    <w:p>
      <w:pPr>
        <w:pStyle w:val="a"/>
        <w:jc w:val="both"/>
        <w:ind w:firstLine="420"/>
      </w:pPr>
      <w:r>
        <w:t>资源安排服务于公平比较。首先完成 tokenizer、模板、数据解析和损失定义的低成本检查，再根据显存与吞吐确定序列长度、有效批量和重复次数；全词表方案采用分批反馈或分块计算控制峰值，并与其他方案统一记录训练预算和数值精度。</w:t>
      </w:r>
    </w:p>
    <w:p>
      <w:pPr>
        <w:pStyle w:val="1"/>
      </w:pPr>
      <w:r>
        <w:rPr>
          <w:rFonts w:ascii="SimHei" w:hAnsi="SimHei" w:eastAsia="黑体" w:cs="SimHei"/>
          <w:color w:val="000000"/>
        </w:rPr>
        <w:t>7．研究过程中可能遇到的困难和问题，解决的措施</w:t>
      </w:r>
    </w:p>
    <w:p>
      <w:pPr>
        <w:pStyle w:val="a"/>
        <w:jc w:val="both"/>
        <w:ind w:firstLine="420"/>
      </w:pPr>
      <w:r>
        <w:t>Function Calling 数据的来源、字段质量和测试集泄漏需要核验；模型模板或 tokenizer 不一致会影响 token 级蒸馏；全词表教师反馈会增加显存和计算开销；Top-K 和 K1 估计可能出现方差、熵坍缩和 loss 尖峰；不同推理后端还会影响吞吐、延迟和显存测量。</w:t>
      </w:r>
    </w:p>
    <w:p>
      <w:pPr>
        <w:pStyle w:val="a"/>
        <w:jc w:val="both"/>
        <w:ind w:firstLine="420"/>
      </w:pPr>
      <w:r>
        <w:t>针对上述问题，在训练前完成数据、模型和模板审计；在统一预算下记录教师反馈量、学生 rollout 和资源指标；为三类监督方案规定支持集、采样与 Mask 协议；保存异常 loss、非法结构和失败工具调用的可追溯样本；使用分层指标区分解析、选择、参数和执行错误；在通过兼容性验证的后端上完成部署评测。</w:t>
      </w:r>
    </w:p>
    <w:p>
      <w:pPr>
        <w:pStyle w:val="a"/>
        <w:jc w:val="both"/>
        <w:ind w:firstLine="420"/>
      </w:pPr>
      <w:r>
        <w:t>困难分析分为三类：数据与接口问题，包括 schema 错误、模板不匹配和测试泄漏；蒸馏估计问题，包括支持集截断、K1 方差和散度数值不稳定；训练与推理性能问题，包括教师前向开销、全词表 logits 显存、LoRA 更新效率和后端加载差异。实验日志按照上述类别记录问题，使算法效果与系统性能能够分别分析。</w:t>
      </w:r>
    </w:p>
    <w:p>
      <w:pPr>
        <w:pStyle w:val="1"/>
      </w:pPr>
      <w:r>
        <w:rPr>
          <w:rFonts w:ascii="SimHei" w:hAnsi="SimHei" w:eastAsia="黑体" w:cs="SimHei"/>
          <w:color w:val="000000"/>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SimHei" w:hAnsi="SimHei" w:eastAsia="黑体" w:cs="SimHei"/>
      <w:b w:val="0"/>
      <w:bCs/>
      <w:color w:val="000000"/>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SimHei" w:hAnsi="SimHei" w:eastAsia="黑体" w:cs="SimHei"/>
      <w:b w:val="0"/>
      <w:bCs/>
      <w:color w:val="000000"/>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SimHei" w:hAnsi="SimHei" w:eastAsia="黑体" w:cs="SimHei"/>
      <w:b w:val="0"/>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