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ACA72">
      <w:pPr>
        <w:spacing w:before="78" w:after="78"/>
        <w:jc w:val="both"/>
        <w:rPr>
          <w:rFonts w:eastAsia="楷体_GB2312"/>
          <w:b/>
          <w:spacing w:val="40"/>
          <w:sz w:val="36"/>
        </w:rPr>
      </w:pPr>
    </w:p>
    <w:p w14:paraId="0EE9D77E">
      <w:pPr>
        <w:spacing w:before="78" w:after="78"/>
        <w:ind w:firstLine="883"/>
        <w:jc w:val="center"/>
        <w:rPr>
          <w:rFonts w:eastAsia="楷体_GB2312"/>
          <w:b/>
          <w:spacing w:val="40"/>
          <w:sz w:val="36"/>
        </w:rPr>
      </w:pPr>
    </w:p>
    <w:p w14:paraId="3BFCB7BE">
      <w:pPr>
        <w:spacing w:before="78" w:after="78"/>
        <w:jc w:val="center"/>
        <w:rPr>
          <w:rFonts w:eastAsia="楷体_GB2312"/>
          <w:b/>
          <w:spacing w:val="40"/>
          <w:sz w:val="36"/>
        </w:rPr>
      </w:pPr>
      <w:r>
        <w:rPr>
          <w:rFonts w:eastAsia="楷体_GB2312"/>
          <w:b/>
          <w:spacing w:val="40"/>
          <w:sz w:val="36"/>
        </w:rPr>
        <w:drawing>
          <wp:inline distT="0" distB="0" distL="0" distR="0">
            <wp:extent cx="2137410" cy="403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37410" cy="403860"/>
                    </a:xfrm>
                    <a:prstGeom prst="rect">
                      <a:avLst/>
                    </a:prstGeom>
                    <a:noFill/>
                    <a:ln>
                      <a:noFill/>
                    </a:ln>
                  </pic:spPr>
                </pic:pic>
              </a:graphicData>
            </a:graphic>
          </wp:inline>
        </w:drawing>
      </w:r>
    </w:p>
    <w:p w14:paraId="6921CBFD">
      <w:pPr>
        <w:spacing w:before="78" w:after="78"/>
        <w:ind w:firstLine="883"/>
        <w:jc w:val="center"/>
        <w:rPr>
          <w:rFonts w:eastAsia="楷体_GB2312"/>
          <w:b/>
          <w:spacing w:val="40"/>
          <w:sz w:val="36"/>
        </w:rPr>
      </w:pPr>
    </w:p>
    <w:p w14:paraId="509B8C31">
      <w:pPr>
        <w:spacing w:before="78" w:after="78"/>
        <w:jc w:val="center"/>
        <w:rPr>
          <w:b/>
          <w:spacing w:val="40"/>
          <w:sz w:val="48"/>
        </w:rPr>
      </w:pPr>
      <w:r>
        <w:rPr>
          <w:rFonts w:hint="eastAsia" w:ascii="黑体" w:hAnsi="黑体" w:eastAsia="黑体" w:cs="黑体"/>
          <w:b/>
          <w:color w:val="000000"/>
          <w:spacing w:val="40"/>
          <w:sz w:val="48"/>
        </w:rPr>
        <w:t>毕业设计（论文）开题报告</w:t>
      </w:r>
    </w:p>
    <w:p w14:paraId="7A5E0120">
      <w:pPr>
        <w:spacing w:before="78" w:after="78"/>
        <w:ind w:firstLine="643"/>
        <w:rPr>
          <w:b/>
          <w:sz w:val="32"/>
        </w:rPr>
      </w:pPr>
    </w:p>
    <w:p w14:paraId="035E13DA">
      <w:pPr>
        <w:spacing w:before="78" w:after="78"/>
        <w:rPr>
          <w:b/>
          <w:sz w:val="32"/>
        </w:rPr>
      </w:pPr>
    </w:p>
    <w:p w14:paraId="4B2C42F9">
      <w:pPr>
        <w:spacing w:before="78" w:after="78"/>
        <w:ind w:firstLine="701" w:firstLineChars="250"/>
        <w:rPr>
          <w:b/>
          <w:sz w:val="28"/>
          <w:szCs w:val="21"/>
        </w:rPr>
      </w:pPr>
      <w:r>
        <w:rPr>
          <w:rFonts w:hint="eastAsia" w:ascii="黑体" w:hAnsi="黑体" w:eastAsia="黑体" w:cs="黑体"/>
          <w:b/>
          <w:color w:val="000000"/>
          <w:sz w:val="28"/>
          <w:szCs w:val="21"/>
        </w:rPr>
        <w:t>题</w:t>
      </w:r>
      <w:r>
        <w:rPr>
          <w:rFonts w:ascii="黑体" w:hAnsi="黑体" w:eastAsia="黑体" w:cs="黑体"/>
          <w:b/>
          <w:color w:val="000000"/>
          <w:sz w:val="28"/>
          <w:szCs w:val="21"/>
        </w:rPr>
        <w:t xml:space="preserve"> </w:t>
      </w:r>
      <w:r>
        <w:rPr>
          <w:rFonts w:hint="eastAsia" w:ascii="黑体" w:hAnsi="黑体" w:eastAsia="黑体" w:cs="黑体"/>
          <w:b/>
          <w:color w:val="000000"/>
          <w:sz w:val="28"/>
          <w:szCs w:val="21"/>
        </w:rPr>
        <w:t>目：基于在线策略蒸馏的大语言模型后训练方法研究</w:t>
      </w:r>
    </w:p>
    <w:p w14:paraId="7C122DCF">
      <w:pPr>
        <w:spacing w:before="78" w:after="78"/>
        <w:ind w:firstLine="643"/>
        <w:rPr>
          <w:b/>
          <w:sz w:val="32"/>
        </w:rPr>
      </w:pPr>
    </w:p>
    <w:p w14:paraId="607458DB">
      <w:pPr>
        <w:spacing w:before="78" w:after="78"/>
        <w:ind w:firstLine="643"/>
        <w:rPr>
          <w:b/>
          <w:sz w:val="32"/>
          <w:u w:val="single"/>
        </w:rPr>
      </w:pPr>
    </w:p>
    <w:p w14:paraId="6A81B0BC">
      <w:pPr>
        <w:spacing w:before="78" w:after="78"/>
        <w:ind w:firstLine="643"/>
        <w:rPr>
          <w:b/>
          <w:sz w:val="32"/>
          <w:u w:val="single"/>
        </w:rPr>
      </w:pPr>
    </w:p>
    <w:p w14:paraId="0C65FAB6">
      <w:pPr>
        <w:spacing w:before="78" w:after="78"/>
        <w:ind w:firstLine="643"/>
        <w:rPr>
          <w:b/>
          <w:sz w:val="32"/>
          <w:u w:val="single"/>
        </w:rPr>
      </w:pPr>
    </w:p>
    <w:p w14:paraId="3F4FC680">
      <w:pPr>
        <w:spacing w:before="249" w:beforeLines="80" w:after="60"/>
        <w:ind w:firstLine="2197" w:firstLineChars="686"/>
        <w:rPr>
          <w:b/>
          <w:sz w:val="32"/>
          <w:u w:val="single"/>
        </w:rPr>
      </w:pPr>
      <w:r>
        <w:rPr>
          <w:rFonts w:hint="eastAsia"/>
          <w:b/>
          <w:sz w:val="32"/>
        </w:rPr>
        <w:t>专</w:t>
      </w:r>
      <w:r>
        <w:rPr>
          <w:b/>
          <w:sz w:val="32"/>
        </w:rPr>
        <w:t xml:space="preserve">    </w:t>
      </w:r>
      <w:r>
        <w:rPr>
          <w:rFonts w:hint="eastAsia"/>
          <w:b/>
          <w:sz w:val="32"/>
        </w:rPr>
        <w:t>业</w:t>
      </w:r>
      <w:r>
        <w:rPr>
          <w:b/>
          <w:sz w:val="32"/>
        </w:rPr>
        <w:t xml:space="preserve"> </w:t>
      </w:r>
      <w:r>
        <w:rPr>
          <w:b/>
          <w:sz w:val="32"/>
          <w:u w:val="single"/>
        </w:rPr>
        <w:t xml:space="preserve">  </w:t>
      </w:r>
      <w:r>
        <w:rPr>
          <w:rFonts w:hint="eastAsia"/>
          <w:b/>
          <w:sz w:val="32"/>
          <w:u w:val="single"/>
          <w:lang w:val="en-US" w:eastAsia="zh-CN"/>
        </w:rPr>
        <w:t>计算机科学与技术</w:t>
      </w:r>
      <w:r>
        <w:rPr>
          <w:b/>
          <w:sz w:val="32"/>
          <w:u w:val="single"/>
        </w:rPr>
        <w:t xml:space="preserve">   </w:t>
      </w:r>
    </w:p>
    <w:p w14:paraId="727EE0AF">
      <w:pPr>
        <w:spacing w:before="249" w:beforeLines="80" w:after="60"/>
        <w:ind w:firstLine="2197" w:firstLineChars="686"/>
        <w:rPr>
          <w:b/>
          <w:sz w:val="32"/>
          <w:u w:val="single"/>
        </w:rPr>
      </w:pPr>
      <w:r>
        <w:rPr>
          <w:rFonts w:hint="eastAsia"/>
          <w:b/>
          <w:sz w:val="32"/>
        </w:rPr>
        <w:t>学</w:t>
      </w:r>
      <w:r>
        <w:rPr>
          <w:b/>
          <w:sz w:val="32"/>
        </w:rPr>
        <w:t xml:space="preserve">    </w:t>
      </w:r>
      <w:r>
        <w:rPr>
          <w:rFonts w:hint="eastAsia"/>
          <w:b/>
          <w:sz w:val="32"/>
        </w:rPr>
        <w:t>生</w:t>
      </w:r>
      <w:r>
        <w:rPr>
          <w:b/>
          <w:sz w:val="32"/>
        </w:rPr>
        <w:t xml:space="preserve"> </w:t>
      </w:r>
      <w:r>
        <w:rPr>
          <w:b/>
          <w:sz w:val="32"/>
          <w:u w:val="single"/>
        </w:rPr>
        <w:t xml:space="preserve">       </w:t>
      </w:r>
      <w:r>
        <w:rPr>
          <w:rFonts w:hint="eastAsia"/>
          <w:b/>
          <w:sz w:val="32"/>
          <w:u w:val="single"/>
          <w:lang w:val="en-US" w:eastAsia="zh-CN"/>
        </w:rPr>
        <w:t>张子琦</w:t>
      </w:r>
      <w:r>
        <w:rPr>
          <w:b/>
          <w:sz w:val="32"/>
          <w:u w:val="single"/>
        </w:rPr>
        <w:t xml:space="preserve">        </w:t>
      </w:r>
    </w:p>
    <w:p w14:paraId="087E7EA8">
      <w:pPr>
        <w:spacing w:before="249" w:beforeLines="80" w:after="60"/>
        <w:ind w:firstLine="2197" w:firstLineChars="686"/>
        <w:rPr>
          <w:b/>
          <w:sz w:val="32"/>
          <w:u w:val="single"/>
        </w:rPr>
      </w:pPr>
      <w:r>
        <w:rPr>
          <w:rFonts w:hint="eastAsia"/>
          <w:b/>
          <w:sz w:val="32"/>
        </w:rPr>
        <w:t>学</w:t>
      </w:r>
      <w:r>
        <w:rPr>
          <w:b/>
          <w:sz w:val="32"/>
        </w:rPr>
        <w:t xml:space="preserve">    </w:t>
      </w:r>
      <w:r>
        <w:rPr>
          <w:rFonts w:hint="eastAsia"/>
          <w:b/>
          <w:sz w:val="32"/>
        </w:rPr>
        <w:t>号</w:t>
      </w:r>
      <w:r>
        <w:rPr>
          <w:b/>
          <w:sz w:val="32"/>
        </w:rPr>
        <w:t xml:space="preserve"> </w:t>
      </w:r>
      <w:r>
        <w:rPr>
          <w:b/>
          <w:sz w:val="32"/>
          <w:u w:val="single"/>
        </w:rPr>
        <w:t xml:space="preserve">  </w:t>
      </w:r>
      <w:r>
        <w:rPr>
          <w:rFonts w:hint="eastAsia"/>
          <w:b/>
          <w:sz w:val="32"/>
          <w:u w:val="single"/>
          <w:lang w:val="en-US" w:eastAsia="zh-CN"/>
        </w:rPr>
        <w:t xml:space="preserve">   2023110966 </w:t>
      </w:r>
      <w:r>
        <w:rPr>
          <w:b/>
          <w:sz w:val="32"/>
          <w:u w:val="single"/>
        </w:rPr>
        <w:t xml:space="preserve"> </w:t>
      </w:r>
      <w:r>
        <w:rPr>
          <w:rFonts w:hint="eastAsia"/>
          <w:b/>
          <w:sz w:val="32"/>
          <w:u w:val="single"/>
          <w:lang w:val="en-US" w:eastAsia="zh-CN"/>
        </w:rPr>
        <w:t xml:space="preserve"> </w:t>
      </w:r>
      <w:r>
        <w:rPr>
          <w:b/>
          <w:sz w:val="32"/>
          <w:u w:val="single"/>
        </w:rPr>
        <w:t xml:space="preserve">   </w:t>
      </w:r>
    </w:p>
    <w:p w14:paraId="77CDA7DA">
      <w:pPr>
        <w:spacing w:before="249" w:beforeLines="80" w:after="60"/>
        <w:ind w:firstLine="2197" w:firstLineChars="686"/>
        <w:rPr>
          <w:b/>
          <w:sz w:val="32"/>
          <w:u w:val="single"/>
        </w:rPr>
      </w:pPr>
      <w:r>
        <w:rPr>
          <w:rFonts w:hint="eastAsia"/>
          <w:b/>
          <w:sz w:val="32"/>
        </w:rPr>
        <w:t>指导教师</w:t>
      </w:r>
      <w:r>
        <w:rPr>
          <w:b/>
          <w:sz w:val="32"/>
        </w:rPr>
        <w:t xml:space="preserve"> </w:t>
      </w:r>
      <w:r>
        <w:rPr>
          <w:b/>
          <w:sz w:val="32"/>
          <w:u w:val="single"/>
        </w:rPr>
        <w:t xml:space="preserve">     </w:t>
      </w:r>
      <w:r>
        <w:rPr>
          <w:rFonts w:hint="eastAsia"/>
          <w:b/>
          <w:sz w:val="32"/>
          <w:u w:val="single"/>
          <w:lang w:val="en-US" w:eastAsia="zh-CN"/>
        </w:rPr>
        <w:t xml:space="preserve"> </w:t>
      </w:r>
      <w:r>
        <w:rPr>
          <w:b/>
          <w:sz w:val="32"/>
          <w:u w:val="single"/>
        </w:rPr>
        <w:t xml:space="preserve">  </w:t>
      </w:r>
      <w:r>
        <w:rPr>
          <w:rFonts w:hint="eastAsia"/>
          <w:b/>
          <w:sz w:val="32"/>
          <w:u w:val="single"/>
          <w:lang w:val="en-US" w:eastAsia="zh-CN"/>
        </w:rPr>
        <w:t>徐冰</w:t>
      </w:r>
      <w:r>
        <w:rPr>
          <w:b/>
          <w:sz w:val="32"/>
          <w:u w:val="single"/>
        </w:rPr>
        <w:t xml:space="preserve">         </w:t>
      </w:r>
    </w:p>
    <w:p w14:paraId="27AD5893">
      <w:pPr>
        <w:spacing w:before="249" w:beforeLines="80" w:after="60"/>
        <w:ind w:firstLine="2197" w:firstLineChars="686"/>
        <w:rPr>
          <w:b/>
          <w:sz w:val="32"/>
          <w:u w:val="single"/>
        </w:rPr>
      </w:pPr>
      <w:r>
        <w:rPr>
          <w:rFonts w:hint="eastAsia"/>
          <w:b/>
          <w:sz w:val="32"/>
        </w:rPr>
        <w:t>日</w:t>
      </w:r>
      <w:r>
        <w:rPr>
          <w:b/>
          <w:sz w:val="32"/>
        </w:rPr>
        <w:t xml:space="preserve">    </w:t>
      </w:r>
      <w:r>
        <w:rPr>
          <w:rFonts w:hint="eastAsia"/>
          <w:b/>
          <w:sz w:val="32"/>
        </w:rPr>
        <w:t>期</w:t>
      </w:r>
      <w:r>
        <w:rPr>
          <w:b/>
          <w:sz w:val="32"/>
        </w:rPr>
        <w:t xml:space="preserve"> </w:t>
      </w:r>
      <w:r>
        <w:rPr>
          <w:b/>
          <w:sz w:val="32"/>
          <w:u w:val="single"/>
        </w:rPr>
        <w:t xml:space="preserve">        </w:t>
      </w:r>
      <w:r>
        <w:rPr>
          <w:rFonts w:hint="eastAsia"/>
          <w:b/>
          <w:sz w:val="32"/>
          <w:u w:val="single"/>
          <w:lang w:val="en-US" w:eastAsia="zh-CN"/>
        </w:rPr>
        <w:t>2026/9/25</w:t>
      </w:r>
      <w:r>
        <w:rPr>
          <w:b/>
          <w:sz w:val="32"/>
          <w:u w:val="single"/>
        </w:rPr>
        <w:t xml:space="preserve">     </w:t>
      </w:r>
    </w:p>
    <w:p w14:paraId="72043E55">
      <w:pPr>
        <w:sectPr>
          <w:pgSz w:w="11906" w:h="16838"/>
          <w:pgMar w:top="1440" w:right="1800" w:bottom="1440" w:left="1800" w:header="851" w:footer="992" w:gutter="0"/>
          <w:cols w:space="425" w:num="1"/>
          <w:docGrid w:type="lines" w:linePitch="312" w:charSpace="0"/>
        </w:sectPr>
      </w:pPr>
    </w:p>
    <w:p w14:paraId="68E0725A">
      <w:pPr>
        <w:spacing w:after="160" w:line="240" w:lineRule="auto"/>
        <w:jc w:val="center"/>
      </w:pPr>
      <w:r>
        <w:rPr>
          <w:rFonts w:ascii="Times New Roman" w:hAnsi="Times New Roman" w:eastAsia="Heiti SC"/>
          <w:b/>
          <w:sz w:val="32"/>
        </w:rPr>
        <w:t>目  录</w:t>
      </w:r>
    </w:p>
    <w:p>
      <w:pPr>
        <w:pStyle w:val="7"/>
        <w:tabs>
          <w:tab w:val="right" w:leader="dot" w:pos="8306"/>
        </w:tabs>
      </w:pPr>
      <w:r>
        <w:t>1．课题来源及研究的目的和意义</w:t>
      </w:r>
      <w:r>
        <w:tab/>
      </w:r>
      <w:r>
        <w:t>3</w:t>
      </w:r>
    </w:p>
    <w:p>
      <w:pPr>
        <w:pStyle w:val="8"/>
        <w:tabs>
          <w:tab w:val="right" w:leader="dot" w:pos="8306"/>
        </w:tabs>
      </w:pPr>
      <w:r>
        <w:t>1.1 课题来源</w:t>
      </w:r>
      <w:r>
        <w:tab/>
      </w:r>
      <w:r>
        <w:t>3</w:t>
      </w:r>
    </w:p>
    <w:p>
      <w:pPr>
        <w:pStyle w:val="8"/>
        <w:tabs>
          <w:tab w:val="right" w:leader="dot" w:pos="8306"/>
        </w:tabs>
      </w:pPr>
      <w:r>
        <w:t>1.2 研究背景</w:t>
      </w:r>
      <w:r>
        <w:tab/>
      </w:r>
      <w:r>
        <w:t>4</w:t>
      </w:r>
    </w:p>
    <w:p>
      <w:pPr>
        <w:pStyle w:val="8"/>
        <w:tabs>
          <w:tab w:val="right" w:leader="dot" w:pos="8306"/>
        </w:tabs>
      </w:pPr>
      <w:r>
        <w:t>1.3 研究目的和意义</w:t>
      </w:r>
      <w:r>
        <w:tab/>
      </w:r>
      <w:r>
        <w:t>5</w:t>
      </w:r>
    </w:p>
    <w:p>
      <w:pPr>
        <w:pStyle w:val="7"/>
        <w:tabs>
          <w:tab w:val="right" w:leader="dot" w:pos="8306"/>
        </w:tabs>
      </w:pPr>
      <w:r>
        <w:t>2．国内外在该方向的研究现状及分析</w:t>
      </w:r>
      <w:r>
        <w:tab/>
      </w:r>
      <w:r>
        <w:t>6</w:t>
      </w:r>
    </w:p>
    <w:p>
      <w:pPr>
        <w:pStyle w:val="8"/>
        <w:tabs>
          <w:tab w:val="right" w:leader="dot" w:pos="8306"/>
        </w:tabs>
      </w:pPr>
      <w:r>
        <w:t>2.1 大语言模型后训练和知识蒸馏</w:t>
      </w:r>
      <w:r>
        <w:tab/>
      </w:r>
      <w:r>
        <w:t>6</w:t>
      </w:r>
    </w:p>
    <w:p>
      <w:pPr>
        <w:pStyle w:val="8"/>
        <w:tabs>
          <w:tab w:val="right" w:leader="dot" w:pos="8306"/>
        </w:tabs>
      </w:pPr>
      <w:r>
        <w:t>2.2 分布偏移与在线策略蒸馏</w:t>
      </w:r>
      <w:r>
        <w:tab/>
      </w:r>
      <w:r>
        <w:t>8</w:t>
      </w:r>
    </w:p>
    <w:p>
      <w:pPr>
        <w:pStyle w:val="8"/>
        <w:tabs>
          <w:tab w:val="right" w:leader="dot" w:pos="8306"/>
        </w:tabs>
      </w:pPr>
      <w:r>
        <w:t>2.3 KL 散度方向与广义散度</w:t>
      </w:r>
      <w:r>
        <w:tab/>
      </w:r>
      <w:r>
        <w:t>9</w:t>
      </w:r>
    </w:p>
    <w:p>
      <w:pPr>
        <w:pStyle w:val="8"/>
        <w:tabs>
          <w:tab w:val="right" w:leader="dot" w:pos="8306"/>
        </w:tabs>
      </w:pPr>
      <w:r>
        <w:t>2.4 监督信息粒度与资源效率</w:t>
      </w:r>
      <w:r>
        <w:tab/>
      </w:r>
      <w:r>
        <w:t>10</w:t>
      </w:r>
    </w:p>
    <w:p>
      <w:pPr>
        <w:pStyle w:val="8"/>
        <w:tabs>
          <w:tab w:val="right" w:leader="dot" w:pos="8306"/>
        </w:tabs>
      </w:pPr>
      <w:r>
        <w:t>2.5 Function Calling 数据与评测研究</w:t>
      </w:r>
      <w:r>
        <w:tab/>
      </w:r>
      <w:r>
        <w:t>11</w:t>
      </w:r>
    </w:p>
    <w:p>
      <w:pPr>
        <w:pStyle w:val="8"/>
        <w:tabs>
          <w:tab w:val="right" w:leader="dot" w:pos="8306"/>
        </w:tabs>
      </w:pPr>
      <w:r>
        <w:t>2.6 现有方法存在的问题</w:t>
      </w:r>
      <w:r>
        <w:tab/>
      </w:r>
      <w:r>
        <w:t>11</w:t>
      </w:r>
    </w:p>
    <w:p>
      <w:pPr>
        <w:pStyle w:val="8"/>
        <w:tabs>
          <w:tab w:val="right" w:leader="dot" w:pos="8306"/>
        </w:tabs>
      </w:pPr>
      <w:r>
        <w:t>2.7 本课题研究问题</w:t>
      </w:r>
      <w:r>
        <w:tab/>
      </w:r>
      <w:r>
        <w:t>12</w:t>
      </w:r>
    </w:p>
    <w:p>
      <w:pPr>
        <w:pStyle w:val="7"/>
        <w:tabs>
          <w:tab w:val="right" w:leader="dot" w:pos="8306"/>
        </w:tabs>
      </w:pPr>
      <w:r>
        <w:t>3．主要研究内容</w:t>
      </w:r>
      <w:r>
        <w:tab/>
      </w:r>
      <w:r>
        <w:t>13</w:t>
      </w:r>
    </w:p>
    <w:p>
      <w:pPr>
        <w:pStyle w:val="8"/>
        <w:tabs>
          <w:tab w:val="right" w:leader="dot" w:pos="8306"/>
        </w:tabs>
      </w:pPr>
      <w:r>
        <w:t>3.1 学生状态分布下的在线蒸馏基线问题</w:t>
      </w:r>
      <w:r>
        <w:tab/>
      </w:r>
      <w:r>
        <w:t>13</w:t>
      </w:r>
    </w:p>
    <w:p>
      <w:pPr>
        <w:pStyle w:val="8"/>
        <w:tabs>
          <w:tab w:val="right" w:leader="dot" w:pos="8306"/>
        </w:tabs>
      </w:pPr>
      <w:r>
        <w:t>3.2 散度方向与学习行为差异问题</w:t>
      </w:r>
      <w:r>
        <w:tab/>
      </w:r>
      <w:r>
        <w:t>14</w:t>
      </w:r>
    </w:p>
    <w:p>
      <w:pPr>
        <w:pStyle w:val="8"/>
        <w:tabs>
          <w:tab w:val="right" w:leader="dot" w:pos="8306"/>
        </w:tabs>
      </w:pPr>
      <w:r>
        <w:t>3.3 监督信息粒度与效果效率权衡问题</w:t>
      </w:r>
      <w:r>
        <w:tab/>
      </w:r>
      <w:r>
        <w:t>14</w:t>
      </w:r>
    </w:p>
    <w:p>
      <w:pPr>
        <w:pStyle w:val="7"/>
        <w:tabs>
          <w:tab w:val="right" w:leader="dot" w:pos="8306"/>
        </w:tabs>
      </w:pPr>
      <w:r>
        <w:t>4．研究方案</w:t>
      </w:r>
      <w:r>
        <w:tab/>
      </w:r>
      <w:r>
        <w:t>16</w:t>
      </w:r>
    </w:p>
    <w:p>
      <w:pPr>
        <w:pStyle w:val="8"/>
        <w:tabs>
          <w:tab w:val="right" w:leader="dot" w:pos="8306"/>
        </w:tabs>
      </w:pPr>
      <w:r>
        <w:t>4.1 总体技术路线</w:t>
      </w:r>
      <w:r>
        <w:tab/>
      </w:r>
      <w:r>
        <w:t>16</w:t>
      </w:r>
    </w:p>
    <w:p>
      <w:pPr>
        <w:pStyle w:val="8"/>
        <w:tabs>
          <w:tab w:val="right" w:leader="dot" w:pos="8306"/>
        </w:tabs>
      </w:pPr>
      <w:r>
        <w:t>4.2 模型和数据准备</w:t>
      </w:r>
      <w:r>
        <w:tab/>
      </w:r>
      <w:r>
        <w:t>17</w:t>
      </w:r>
    </w:p>
    <w:p>
      <w:pPr>
        <w:pStyle w:val="8"/>
        <w:tabs>
          <w:tab w:val="right" w:leader="dot" w:pos="8306"/>
        </w:tabs>
      </w:pPr>
      <w:r>
        <w:t>4.3 学生 rollout 和教师反馈</w:t>
      </w:r>
      <w:r>
        <w:tab/>
      </w:r>
      <w:r>
        <w:t>18</w:t>
      </w:r>
    </w:p>
    <w:p>
      <w:pPr>
        <w:pStyle w:val="8"/>
        <w:tabs>
          <w:tab w:val="right" w:leader="dot" w:pos="8306"/>
        </w:tabs>
      </w:pPr>
      <w:r>
        <w:t>4.4 损失与监督信息粒度/估计方式的定义原则</w:t>
      </w:r>
      <w:r>
        <w:tab/>
      </w:r>
      <w:r>
        <w:t>20</w:t>
      </w:r>
    </w:p>
    <w:p>
      <w:pPr>
        <w:pStyle w:val="8"/>
        <w:tabs>
          <w:tab w:val="right" w:leader="dot" w:pos="8306"/>
        </w:tabs>
      </w:pPr>
      <w:r>
        <w:t>4.5 评价指标和公平性</w:t>
      </w:r>
      <w:r>
        <w:tab/>
      </w:r>
      <w:r>
        <w:t>21</w:t>
      </w:r>
    </w:p>
    <w:p>
      <w:pPr>
        <w:pStyle w:val="8"/>
        <w:tabs>
          <w:tab w:val="right" w:leader="dot" w:pos="8306"/>
        </w:tabs>
      </w:pPr>
      <w:r>
        <w:t>4.6 可行性分析</w:t>
      </w:r>
      <w:r>
        <w:tab/>
      </w:r>
      <w:r>
        <w:t>24</w:t>
      </w:r>
    </w:p>
    <w:p>
      <w:pPr>
        <w:pStyle w:val="7"/>
        <w:tabs>
          <w:tab w:val="right" w:leader="dot" w:pos="8306"/>
        </w:tabs>
      </w:pPr>
      <w:r>
        <w:t>5．进度安排，预期达到的目标</w:t>
      </w:r>
      <w:r>
        <w:tab/>
      </w:r>
      <w:r>
        <w:t>24</w:t>
      </w:r>
    </w:p>
    <w:p>
      <w:pPr>
        <w:pStyle w:val="8"/>
        <w:tabs>
          <w:tab w:val="right" w:leader="dot" w:pos="8306"/>
        </w:tabs>
      </w:pPr>
      <w:r>
        <w:t>5.1 进度安排</w:t>
      </w:r>
      <w:r>
        <w:tab/>
      </w:r>
      <w:r>
        <w:t>24</w:t>
      </w:r>
    </w:p>
    <w:p>
      <w:pPr>
        <w:pStyle w:val="8"/>
        <w:tabs>
          <w:tab w:val="right" w:leader="dot" w:pos="8306"/>
        </w:tabs>
      </w:pPr>
      <w:r>
        <w:t>5.2 预期达到的目标</w:t>
      </w:r>
      <w:r>
        <w:tab/>
      </w:r>
      <w:r>
        <w:t>26</w:t>
      </w:r>
    </w:p>
    <w:p>
      <w:pPr>
        <w:pStyle w:val="7"/>
        <w:tabs>
          <w:tab w:val="right" w:leader="dot" w:pos="8306"/>
        </w:tabs>
      </w:pPr>
      <w:r>
        <w:t>6．课题已具备和所需的条件、经费</w:t>
      </w:r>
      <w:r>
        <w:tab/>
      </w:r>
      <w:r>
        <w:t>27</w:t>
      </w:r>
    </w:p>
    <w:p>
      <w:pPr>
        <w:pStyle w:val="8"/>
        <w:tabs>
          <w:tab w:val="right" w:leader="dot" w:pos="8306"/>
        </w:tabs>
      </w:pPr>
      <w:r>
        <w:t>6.1 已具备条件</w:t>
      </w:r>
      <w:r>
        <w:tab/>
      </w:r>
      <w:r>
        <w:t>27</w:t>
      </w:r>
    </w:p>
    <w:p>
      <w:pPr>
        <w:pStyle w:val="8"/>
        <w:tabs>
          <w:tab w:val="right" w:leader="dot" w:pos="8306"/>
        </w:tabs>
      </w:pPr>
      <w:r>
        <w:t>6.2 所需条件</w:t>
      </w:r>
      <w:r>
        <w:tab/>
      </w:r>
      <w:r>
        <w:t>27</w:t>
      </w:r>
    </w:p>
    <w:p>
      <w:pPr>
        <w:pStyle w:val="8"/>
        <w:tabs>
          <w:tab w:val="right" w:leader="dot" w:pos="8306"/>
        </w:tabs>
      </w:pPr>
      <w:r>
        <w:t>6.3 经费</w:t>
      </w:r>
      <w:r>
        <w:tab/>
      </w:r>
      <w:r>
        <w:t>28</w:t>
      </w:r>
    </w:p>
    <w:p>
      <w:pPr>
        <w:pStyle w:val="7"/>
        <w:tabs>
          <w:tab w:val="right" w:leader="dot" w:pos="8306"/>
        </w:tabs>
      </w:pPr>
      <w:r>
        <w:t>7．研究过程中可能遇到的困难和问题，解决的措施</w:t>
      </w:r>
      <w:r>
        <w:tab/>
      </w:r>
      <w:r>
        <w:t>29</w:t>
      </w:r>
    </w:p>
    <w:p>
      <w:pPr>
        <w:pStyle w:val="7"/>
        <w:tabs>
          <w:tab w:val="right" w:leader="dot" w:pos="8306"/>
        </w:tabs>
      </w:pPr>
      <w:r>
        <w:t>8．主要参考文献</w:t>
      </w:r>
      <w:r>
        <w:tab/>
      </w:r>
      <w:r>
        <w:t>31</w:t>
      </w:r>
    </w:p>
    <w:p w14:paraId="444931B1">
      <w:pPr>
        <w:pStyle w:val="2"/>
      </w:pPr>
      <w:bookmarkStart w:id="0" w:name="_Toc1738754541"/>
      <w:r>
        <w:rPr>
          <w:rFonts w:ascii="黑体" w:hAnsi="黑体" w:eastAsia="黑体" w:cs="黑体"/>
          <w:b/>
          <w:color w:val="000000"/>
          <w:sz w:val="28"/>
        </w:rPr>
        <w:t>1．课题来源及研究的目的和意义</w:t>
      </w:r>
      <w:bookmarkEnd w:id="0"/>
    </w:p>
    <w:p w14:paraId="5244ADAC">
      <w:pPr>
        <w:pStyle w:val="3"/>
      </w:pPr>
      <w:bookmarkStart w:id="1" w:name="_Toc290102211"/>
      <w:r>
        <w:rPr>
          <w:rFonts w:ascii="黑体" w:hAnsi="黑体" w:eastAsia="黑体" w:cs="黑体"/>
          <w:b/>
          <w:color w:val="000000"/>
          <w:sz w:val="24"/>
        </w:rPr>
        <w:t>1.1 课题来源</w:t>
      </w:r>
      <w:bookmarkEnd w:id="1"/>
    </w:p>
    <w:p w14:paraId="0068B391">
      <w:pPr>
        <w:ind w:firstLine="420"/>
        <w:jc w:val="both"/>
      </w:pPr>
      <w:r>
        <w:t>本课题面向大语言模型后训练与工具增强应用中的实际需求，研究在线策略蒸馏（On-Policy Distillation，OPD）方法。研究将在学生模型自主生成的状态上引入教师模型的密集反馈，比较不同 KL 散度方向和监督信息粒度对训练效果、稳定性及资源开销的影响，并通过可交互的测试系统检验模型的实际能力。</w:t>
      </w:r>
    </w:p>
    <w:p w14:paraId="4589AFE8">
      <w:pPr>
        <w:ind w:firstLine="420"/>
        <w:jc w:val="both"/>
      </w:pPr>
      <w:r>
        <w:t>研究选用 Qwen3-0.6B 作为学生模型，以 LoRA 方式进行后训练，并使用冻结的 Qwen3-4B 作为教师模型。训练数据从公开 Function Calling 数据集中筛选，重点比较 Forward KL、Reverse KL、广义散度，以及全词表、Top-K、K1 sampled-token 三种监督方案；最终通过 vLLM 或自建测试程序验证推理性能。数据准备阶段将统一记录数据集名称、版本、许可证、划分方式和模型版本。</w:t>
      </w:r>
    </w:p>
    <w:p w14:paraId="38DF9D6D">
      <w:pPr>
        <w:pStyle w:val="3"/>
      </w:pPr>
      <w:bookmarkStart w:id="2" w:name="_Toc959981587"/>
      <w:r>
        <w:rPr>
          <w:rFonts w:ascii="黑体" w:hAnsi="黑体" w:eastAsia="黑体" w:cs="黑体"/>
          <w:b/>
          <w:color w:val="000000"/>
          <w:sz w:val="24"/>
        </w:rPr>
        <w:t>1.2 研究背景</w:t>
      </w:r>
      <w:bookmarkEnd w:id="2"/>
    </w:p>
    <w:p>
      <w:pPr>
        <w:ind w:firstLine="420"/>
        <w:jc w:val="both"/>
      </w:pPr>
      <w:r>
        <w:t>大语言模型通过预训练获得语言知识，再通过监督微调、偏好优化、强化学习或知识蒸馏形成指令遵循和工具使用能力。知识蒸馏以教师模型的软分布补充硬标签，能够传递候选 token 之间的相对关系；序列级蒸馏则把教师生成序列作为训练目标[1][2]。</w:t>
      </w:r>
    </w:p>
    <w:p>
      <w:pPr>
        <w:ind w:firstLine="420"/>
        <w:jc w:val="both"/>
      </w:pPr>
      <w:r>
        <w:t>自回归模型在训练时通常读取参考前缀，部署时却依赖自身历史输出，早期错误会改变后续状态。DAgger 和 ImitKD 表明，在学生实际到访的状态上查询专家或教师，可以减轻训练分布与生成分布之间的偏移[3][4]。在线策略蒸馏据此由学生生成轨迹，再由冻结教师在学生前缀上提供 token 级反馈。</w:t>
      </w:r>
    </w:p>
    <w:p>
      <w:pPr>
        <w:ind w:firstLine="420"/>
        <w:jc w:val="both"/>
      </w:pPr>
      <w:r>
        <w:t>Function Calling 要求模型在给定工具 schema 下完成函数选择和参数生成，输出具有明确的结构约束，也可以通过解析、执行和端到端任务结果进行自动评测。API-Bank、APIGen、ToolACE 与 BFCL 分别从工具学习、可验证数据生成和多场景评测等方面建立了研究基础[18][19][20][21]。因此，该任务适合检验不同蒸馏方案在正确性、稳定性和资源成本上的差异。</w:t>
      </w:r>
    </w:p>
    <w:p w14:paraId="59356753">
      <w:pPr>
        <w:pStyle w:val="3"/>
      </w:pPr>
      <w:bookmarkStart w:id="5" w:name="_Toc743962039"/>
      <w:bookmarkEnd w:id="5"/>
      <w:r>
        <w:t>1.3 研究目的和意义</w:t>
      </w:r>
    </w:p>
    <w:p>
      <w:pPr>
        <w:ind w:firstLine="420"/>
        <w:jc w:val="both"/>
      </w:pPr>
      <w:r>
        <w:t>本课题以 Qwen3-0.6B 为学生模型、冻结的 Qwen3-4B 为教师模型，采用 LoRA 构建在线策略蒸馏流程，并在公开 Function Calling 数据上开展受控比较。</w:t>
      </w:r>
    </w:p>
    <w:p>
      <w:pPr>
        <w:pStyle w:val="17"/>
        <w:ind w:firstLine="420"/>
        <w:jc w:val="left"/>
      </w:pPr>
      <w:r>
        <w:t>1. 建立学生 rollout、教师评分、LoRA 更新和统一评测组成的在线策略蒸馏基线，明确状态分布、token 对齐和训练预算。</w:t>
      </w:r>
    </w:p>
    <w:p>
      <w:pPr>
        <w:pStyle w:val="17"/>
        <w:ind w:firstLine="420"/>
        <w:jc w:val="left"/>
      </w:pPr>
      <w:r>
        <w:t>2. 比较 Forward KL、Reverse KL 与代表性广义散度，分析散度方向对工具选择、参数生成和训练稳定性的影响。</w:t>
      </w:r>
    </w:p>
    <w:p>
      <w:pPr>
        <w:pStyle w:val="17"/>
        <w:ind w:firstLine="420"/>
        <w:jc w:val="left"/>
      </w:pPr>
      <w:r>
        <w:t>3. 比较全词表、Top-K 与 K1 sampled-token 监督，分析教师信息量、估计方差、任务效果和资源开销之间的权衡。</w:t>
      </w:r>
    </w:p>
    <w:p>
      <w:pPr>
        <w:ind w:firstLine="420"/>
        <w:jc w:val="both"/>
      </w:pPr>
      <w:r>
        <w:t>研究的理论意义在于把学生状态分布、散度方向和监督信息粒度置于同一实验框架中考察；应用意义在于验证小模型通过参数高效后训练获得工具调用能力的可行性，为低成本部署提供可复现的比较依据。</w:t>
      </w:r>
    </w:p>
    <w:p w14:paraId="486FC300">
      <w:pPr>
        <w:pStyle w:val="2"/>
      </w:pPr>
      <w:bookmarkStart w:id="6" w:name="_Toc1120196639"/>
      <w:r>
        <w:rPr>
          <w:rFonts w:ascii="黑体" w:hAnsi="黑体" w:eastAsia="黑体" w:cs="黑体"/>
          <w:b/>
          <w:color w:val="000000"/>
          <w:sz w:val="28"/>
        </w:rPr>
        <w:t>2．国内外在该方向的研究现状及分析</w:t>
      </w:r>
      <w:bookmarkEnd w:id="6"/>
    </w:p>
    <w:p w14:paraId="4756E8EE">
      <w:pPr>
        <w:pStyle w:val="3"/>
      </w:pPr>
      <w:bookmarkStart w:id="7" w:name="_Toc155778424"/>
      <w:r>
        <w:rPr>
          <w:rFonts w:ascii="黑体" w:hAnsi="黑体" w:eastAsia="黑体" w:cs="黑体"/>
          <w:b/>
          <w:color w:val="000000"/>
          <w:sz w:val="24"/>
        </w:rPr>
        <w:t>2.1 大语言模型后训练和知识蒸馏</w:t>
      </w:r>
      <w:bookmarkEnd w:id="7"/>
    </w:p>
    <w:p>
      <w:pPr>
        <w:ind w:firstLine="420"/>
        <w:jc w:val="both"/>
      </w:pPr>
      <w:r>
        <w:t>大语言模型后训练可按监督来源分为监督微调、知识蒸馏、偏好优化和强化学习。监督微调使用目标序列，知识蒸馏匹配教师分布，偏好优化使用回答偏好，强化学习依据任务奖励更新策略。本文关注知识蒸馏，不把偏好优化和强化学习列为主要实验变量。</w:t>
      </w:r>
    </w:p>
    <w:p>
      <w:pPr>
        <w:ind w:firstLine="420"/>
        <w:jc w:val="both"/>
      </w:pPr>
      <w:r>
        <w:t>经典知识蒸馏通过温度缩放保留教师对多个候选的相对偏好[1]，序列级蒸馏把教师生成序列用于训练学生[2]，f-divergence 视角进一步统一了多种分布匹配目标[5]。这些工作奠定了生成模型蒸馏的基础，但固定语料或教师轨迹不能充分覆盖学生部署时访问的状态。</w:t>
      </w:r>
    </w:p>
    <w:p>
      <w:pPr>
        <w:keepNext/>
        <w:spacing w:before="80" w:after="80" w:line="240" w:lineRule="auto"/>
        <w:ind w:left="0" w:right="0" w:firstLine="0"/>
        <w:jc w:val="center"/>
      </w:pPr>
      <w:r>
        <w:t>表 2-1 后训练方法的状态与监督来源对比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1973"/>
        <w:gridCol w:w="2319"/>
        <w:gridCol w:w="2115"/>
      </w:tblGrid>
      <w:tr w14:paraId="25621ACA">
        <w:trPr>
          <w:tblHeader/>
        </w:trPr>
        <w:tc>
          <w:tcPr>
            <w:tcW w:w="4148" w:type="dxa"/>
          </w:tcPr>
          <w:p w14:paraId="4AC86784">
            <w:pPr>
              <w:ind w:firstLine="0"/>
              <w:jc w:val="left"/>
            </w:pPr>
            <w:r>
              <w:rPr>
                <w:b/>
              </w:rPr>
              <w:t>方法类别</w:t>
            </w:r>
          </w:p>
        </w:tc>
        <w:tc>
          <w:tcPr>
            <w:tcW w:w="4148" w:type="dxa"/>
          </w:tcPr>
          <w:p w14:paraId="30076F5E">
            <w:pPr>
              <w:ind w:firstLine="0"/>
              <w:jc w:val="left"/>
            </w:pPr>
            <w:r>
              <w:rPr>
                <w:b/>
              </w:rPr>
              <w:t>学生训练时的主要状态</w:t>
            </w:r>
          </w:p>
        </w:tc>
        <w:tc>
          <w:tcPr>
            <w:tcW w:w="4148" w:type="dxa"/>
          </w:tcPr>
          <w:p w14:paraId="3D0E28BB">
            <w:pPr>
              <w:ind w:firstLine="0"/>
              <w:jc w:val="left"/>
            </w:pPr>
            <w:r>
              <w:rPr>
                <w:b/>
              </w:rPr>
              <w:t>监督或奖励来源</w:t>
            </w:r>
          </w:p>
        </w:tc>
        <w:tc>
          <w:tcPr>
            <w:tcW w:w="4148" w:type="dxa"/>
          </w:tcPr>
          <w:p w14:paraId="167F5C97">
            <w:pPr>
              <w:ind w:firstLine="0"/>
              <w:jc w:val="left"/>
            </w:pPr>
            <w:r>
              <w:rPr>
                <w:b/>
              </w:rPr>
              <w:t>对本课题的启发</w:t>
            </w:r>
          </w:p>
        </w:tc>
      </w:tr>
      <w:tr w14:paraId="02C0E921">
        <w:tc>
          <w:tcPr>
            <w:tcW w:w="4148" w:type="dxa"/>
          </w:tcPr>
          <w:p w14:paraId="2AED74AE">
            <w:pPr>
              <w:ind w:firstLine="0"/>
              <w:jc w:val="left"/>
            </w:pPr>
            <w:r>
              <w:t>SFT/离线蒸馏</w:t>
            </w:r>
          </w:p>
        </w:tc>
        <w:tc>
          <w:tcPr>
            <w:tcW w:w="4148" w:type="dxa"/>
          </w:tcPr>
          <w:p w14:paraId="1D0C6309">
            <w:pPr>
              <w:ind w:firstLine="0"/>
              <w:jc w:val="left"/>
            </w:pPr>
            <w:r>
              <w:t>数据或教师示范前缀</w:t>
            </w:r>
          </w:p>
        </w:tc>
        <w:tc>
          <w:tcPr>
            <w:tcW w:w="4148" w:type="dxa"/>
          </w:tcPr>
          <w:p w14:paraId="66CED08E">
            <w:pPr>
              <w:ind w:firstLine="0"/>
              <w:jc w:val="left"/>
            </w:pPr>
            <w:r>
              <w:t>硬标签、教师序列或软分布</w:t>
            </w:r>
          </w:p>
        </w:tc>
        <w:tc>
          <w:tcPr>
            <w:tcW w:w="4148" w:type="dxa"/>
          </w:tcPr>
          <w:p w14:paraId="12C21A15">
            <w:pPr>
              <w:ind w:firstLine="0"/>
              <w:jc w:val="left"/>
            </w:pPr>
            <w:r>
              <w:t>作为分析 OPD 分布偏移问题的对照</w:t>
            </w:r>
          </w:p>
        </w:tc>
      </w:tr>
      <w:tr w14:paraId="72F129EE">
        <w:tc>
          <w:tcPr>
            <w:tcW w:w="4148" w:type="dxa"/>
          </w:tcPr>
          <w:p w14:paraId="1394DE27">
            <w:pPr>
              <w:ind w:firstLine="0"/>
              <w:jc w:val="left"/>
            </w:pPr>
            <w:r>
              <w:t>模仿学习式蒸馏</w:t>
            </w:r>
          </w:p>
        </w:tc>
        <w:tc>
          <w:tcPr>
            <w:tcW w:w="4148" w:type="dxa"/>
          </w:tcPr>
          <w:p w14:paraId="12DC5B34">
            <w:pPr>
              <w:ind w:firstLine="0"/>
              <w:jc w:val="left"/>
            </w:pPr>
            <w:r>
              <w:t>学生访问的部分状态</w:t>
            </w:r>
          </w:p>
        </w:tc>
        <w:tc>
          <w:tcPr>
            <w:tcW w:w="4148" w:type="dxa"/>
          </w:tcPr>
          <w:p w14:paraId="4256DCDE">
            <w:pPr>
              <w:ind w:firstLine="0"/>
              <w:jc w:val="left"/>
            </w:pPr>
            <w:r>
              <w:t>专家动作或教师反馈</w:t>
            </w:r>
          </w:p>
        </w:tc>
        <w:tc>
          <w:tcPr>
            <w:tcW w:w="4148" w:type="dxa"/>
          </w:tcPr>
          <w:p w14:paraId="7B6D34ED">
            <w:pPr>
              <w:ind w:firstLine="0"/>
              <w:jc w:val="left"/>
            </w:pPr>
            <w:r>
              <w:t>说明教师为何需要在学生前缀上提供反馈</w:t>
            </w:r>
          </w:p>
        </w:tc>
      </w:tr>
      <w:tr w14:paraId="0AEBC808">
        <w:tc>
          <w:tcPr>
            <w:tcW w:w="4148" w:type="dxa"/>
          </w:tcPr>
          <w:p w14:paraId="5626CA6B">
            <w:pPr>
              <w:ind w:firstLine="0"/>
              <w:jc w:val="left"/>
            </w:pPr>
            <w:r>
              <w:t>OPD</w:t>
            </w:r>
          </w:p>
        </w:tc>
        <w:tc>
          <w:tcPr>
            <w:tcW w:w="4148" w:type="dxa"/>
          </w:tcPr>
          <w:p w14:paraId="4A297CA7">
            <w:pPr>
              <w:ind w:firstLine="0"/>
              <w:jc w:val="left"/>
            </w:pPr>
            <w:r>
              <w:t>学生自身生成轨迹</w:t>
            </w:r>
          </w:p>
        </w:tc>
        <w:tc>
          <w:tcPr>
            <w:tcW w:w="4148" w:type="dxa"/>
          </w:tcPr>
          <w:p w14:paraId="26ADA3E2">
            <w:pPr>
              <w:ind w:firstLine="0"/>
              <w:jc w:val="left"/>
            </w:pPr>
            <w:r>
              <w:t>教师 token 分布或 log-prob</w:t>
            </w:r>
          </w:p>
        </w:tc>
        <w:tc>
          <w:tcPr>
            <w:tcW w:w="4148" w:type="dxa"/>
          </w:tcPr>
          <w:p w14:paraId="11E7E14B">
            <w:pPr>
              <w:ind w:firstLine="0"/>
              <w:jc w:val="left"/>
            </w:pPr>
            <w:r>
              <w:t>本课题的主要研究对象</w:t>
            </w:r>
          </w:p>
        </w:tc>
      </w:tr>
      <w:tr w14:paraId="6867B21F">
        <w:tc>
          <w:tcPr>
            <w:tcW w:w="4148" w:type="dxa"/>
          </w:tcPr>
          <w:p w14:paraId="1C6E59DC">
            <w:pPr>
              <w:ind w:firstLine="0"/>
              <w:jc w:val="left"/>
            </w:pPr>
            <w:r>
              <w:t>偏好优化/RL</w:t>
            </w:r>
          </w:p>
        </w:tc>
        <w:tc>
          <w:tcPr>
            <w:tcW w:w="4148" w:type="dxa"/>
          </w:tcPr>
          <w:p w14:paraId="5BFE3E11">
            <w:pPr>
              <w:ind w:firstLine="0"/>
              <w:jc w:val="left"/>
            </w:pPr>
            <w:r>
              <w:t>学生采样或离线偏好状态</w:t>
            </w:r>
          </w:p>
        </w:tc>
        <w:tc>
          <w:tcPr>
            <w:tcW w:w="4148" w:type="dxa"/>
          </w:tcPr>
          <w:p w14:paraId="4B2F00AC">
            <w:pPr>
              <w:ind w:firstLine="0"/>
              <w:jc w:val="left"/>
            </w:pPr>
            <w:r>
              <w:t>偏好关系、环境奖励</w:t>
            </w:r>
          </w:p>
        </w:tc>
        <w:tc>
          <w:tcPr>
            <w:tcW w:w="4148" w:type="dxa"/>
          </w:tcPr>
          <w:p w14:paraId="75606103">
            <w:pPr>
              <w:ind w:firstLine="0"/>
              <w:jc w:val="left"/>
            </w:pPr>
            <w:r>
              <w:t>用于区分密集教师反馈与稀疏奖励</w:t>
            </w:r>
          </w:p>
        </w:tc>
      </w:tr>
    </w:tbl>
    <w:p>
      <w:pPr>
        <w:ind w:firstLine="420"/>
        <w:jc w:val="both"/>
      </w:pPr>
      <w:r>
        <w:t>表 2-1 表明，OPD 与离线蒸馏的关键差别是训练状态由学生策略生成，教师在这些状态上提供密集反馈。本文以 LoRA-OPD 为主线，并将其他后训练方法作为概念对照。</w:t>
      </w:r>
    </w:p>
    <w:p w14:paraId="24D76E42">
      <w:pPr>
        <w:pStyle w:val="3"/>
      </w:pPr>
      <w:bookmarkStart w:id="9" w:name="_Toc385406475"/>
      <w:r>
        <w:rPr>
          <w:rFonts w:ascii="黑体" w:hAnsi="黑体" w:eastAsia="黑体" w:cs="黑体"/>
          <w:b/>
          <w:color w:val="000000"/>
          <w:sz w:val="24"/>
        </w:rPr>
        <w:t>2.2 分布偏移与在线策略蒸馏</w:t>
      </w:r>
      <w:bookmarkEnd w:id="9"/>
    </w:p>
    <w:p>
      <w:pPr>
        <w:ind w:firstLine="420"/>
        <w:jc w:val="both"/>
      </w:pPr>
      <w:r>
        <w:t>自回归生成会把模型先前输出重新作为后续输入，因此训练前缀与部署前缀的差异会逐步累积。DAgger 在学习器到访状态上查询专家动作[3]，ImitKD 将该思想用于自回归知识蒸馏[4]，为在线策略蒸馏提供了直接的方法基础。</w:t>
      </w:r>
    </w:p>
    <w:p>
      <w:pPr>
        <w:ind w:firstLine="420"/>
        <w:jc w:val="both"/>
      </w:pPr>
      <w:r>
        <w:t>GKD 在学生自生成轨迹上比较教师与学生分布，并将散度目标作为可配置变量[6]；MiniLLM 从序列级 Reverse KL 出发强调学生策略访问区域[7]；DistiLLM 通过 skew KL 与样本复用讨论效果和成本的平衡[8]。</w:t>
      </w:r>
    </w:p>
    <w:p>
      <w:pPr>
        <w:ind w:firstLine="420"/>
        <w:jc w:val="both"/>
      </w:pPr>
      <w:r>
        <w:t>DistiLLM-2 进一步用对比式目标联合利用教师与学生生成数据[9]。近期研究还指出，师生推理模式、提示覆盖、轨迹长度和高概率 token 重叠都会影响 OPD 的有效性[10]。这说明学生状态、损失目标和教师信息预算需要在同一协议下分别考察。</w:t>
      </w:r>
    </w:p>
    <w:p>
      <w:pPr>
        <w:ind w:firstLine="420"/>
        <w:jc w:val="both"/>
      </w:pPr>
      <w:r>
        <w:t>现有工作往往同时改变模型规模、数据来源、采样方法和损失函数，论文间的结果难以直接横向比较。本文据此固定师生模型、Function Calling 数据、训练预算和解码协议，只改变散度方向与监督信息粒度。</w:t>
      </w:r>
    </w:p>
    <w:p w14:paraId="6975A843">
      <w:pPr>
        <w:pStyle w:val="3"/>
      </w:pPr>
      <w:bookmarkStart w:id="10" w:name="_Toc715945973"/>
      <w:r>
        <w:rPr>
          <w:rFonts w:ascii="黑体" w:hAnsi="黑体" w:eastAsia="黑体" w:cs="黑体"/>
          <w:b/>
          <w:color w:val="000000"/>
          <w:sz w:val="24"/>
        </w:rPr>
        <w:t>2.3 KL 散度方向与广义散度</w:t>
      </w:r>
      <w:bookmarkEnd w:id="10"/>
    </w:p>
    <w:p>
      <w:pPr>
        <w:ind w:firstLine="420"/>
        <w:jc w:val="both"/>
      </w:pPr>
      <w:r>
        <w:t>在同一生成前缀上，教师与学生分别给出条件 token 分布。Forward KL 与 Reverse KL 定义为[13]：</w:t>
      </w:r>
    </w:p>
    <w:p w14:paraId="2BB4B432">
      <w:pPr>
        <w:ind w:firstLine="0"/>
        <w:jc w:val="center"/>
      </w:pPr>
      <m:oMathPara>
        <m:oMath>
          <m:sSub>
            <m:sSubPr/>
            <m:e>
              <m:r>
                <m:rPr/>
                <m:t>D</m:t>
              </m:r>
            </m:e>
            <m:sub>
              <m:r>
                <m:rPr>
                  <m:sty m:val="p"/>
                </m:rPr>
                <m:t>FKL</m:t>
              </m:r>
            </m:sub>
          </m:sSub>
          <m:d>
            <m:dPr>
              <m:sepChr m:val=","/>
            </m:dPr>
            <m:e>
              <m:sSub>
                <m:sSubPr/>
                <m:e>
                  <m:r>
                    <m:rPr/>
                    <m:t>p</m:t>
                  </m:r>
                </m:e>
                <m:sub>
                  <m:r>
                    <m:rPr/>
                    <m:t>T</m:t>
                  </m:r>
                </m:sub>
              </m:sSub>
              <m:r>
                <m:rPr/>
                <m:t>∥</m:t>
              </m:r>
              <m:sSub>
                <m:sSubPr/>
                <m:e>
                  <m:r>
                    <m:rPr/>
                    <m:t>p</m:t>
                  </m:r>
                </m:e>
                <m:sub>
                  <m:r>
                    <m:rPr/>
                    <m:t>S</m:t>
                  </m:r>
                </m:sub>
              </m:sSub>
            </m:e>
          </m:d>
          <m:r>
            <m:rPr/>
            <m:t>=</m:t>
          </m:r>
          <m:nary>
            <m:naryPr>
              <m:chr m:val="∑"/>
              <m:grow m:val="1"/>
              <m:limLoc m:val="subSup"/>
              <m:supHide m:val="1"/>
            </m:naryPr>
            <m:sub>
              <m:r>
                <m:rPr/>
                <m:t>v∈</m:t>
              </m:r>
              <m:r>
                <m:rPr>
                  <m:scr m:val="script"/>
                </m:rPr>
                <m:t>V</m:t>
              </m:r>
            </m:sub>
            <m:sup/>
            <m:e>
              <m:sSub>
                <m:sSubPr/>
                <m:e>
                  <m:r>
                    <m:rPr/>
                    <m:t>p</m:t>
                  </m:r>
                </m:e>
                <m:sub>
                  <m:r>
                    <m:rPr/>
                    <m:t>T</m:t>
                  </m:r>
                </m:sub>
              </m:sSub>
              <m:d>
                <m:dPr>
                  <m:sepChr m:val=","/>
                </m:dPr>
                <m:e>
                  <m:r>
                    <m:rPr/>
                    <m:t>v</m:t>
                  </m:r>
                </m:e>
              </m:d>
            </m:e>
          </m:nary>
          <m:r>
            <m:rPr>
              <m:sty m:val="p"/>
            </m:rPr>
            <m:t>log</m:t>
          </m:r>
          <m:d>
            <m:dPr>
              <m:sepChr m:val=","/>
            </m:dPr>
            <m:e>
              <m:f>
                <m:fPr/>
                <m:num>
                  <m:sSub>
                    <m:sSubPr/>
                    <m:e>
                      <m:r>
                        <m:rPr/>
                        <m:t>p</m:t>
                      </m:r>
                    </m:e>
                    <m:sub>
                      <m:r>
                        <m:rPr/>
                        <m:t>T</m:t>
                      </m:r>
                    </m:sub>
                  </m:sSub>
                  <m:d>
                    <m:dPr>
                      <m:sepChr m:val=","/>
                    </m:dPr>
                    <m:e>
                      <m:r>
                        <m:rPr/>
                        <m:t>v</m:t>
                      </m:r>
                    </m:e>
                  </m:d>
                </m:num>
                <m:den>
                  <m:sSub>
                    <m:sSubPr/>
                    <m:e>
                      <m:r>
                        <m:rPr/>
                        <m:t>p</m:t>
                      </m:r>
                    </m:e>
                    <m:sub>
                      <m:r>
                        <m:rPr/>
                        <m:t>S</m:t>
                      </m:r>
                    </m:sub>
                  </m:sSub>
                  <m:d>
                    <m:dPr>
                      <m:sepChr m:val=","/>
                    </m:dPr>
                    <m:e>
                      <m:r>
                        <m:rPr/>
                        <m:t>v</m:t>
                      </m:r>
                    </m:e>
                  </m:d>
                </m:den>
              </m:f>
            </m:e>
          </m:d>
        </m:oMath>
      </m:oMathPara>
    </w:p>
    <w:p w14:paraId="7FC2B2E2">
      <w:pPr>
        <w:jc w:val="center"/>
      </w:pPr>
      <m:oMathPara>
        <m:oMath>
          <m:sSub>
            <m:sSubPr/>
            <m:e>
              <m:r>
                <m:rPr/>
                <m:t>D</m:t>
              </m:r>
            </m:e>
            <m:sub>
              <m:r>
                <m:rPr>
                  <m:sty m:val="p"/>
                </m:rPr>
                <m:t>RKL</m:t>
              </m:r>
            </m:sub>
          </m:sSub>
          <m:d>
            <m:dPr>
              <m:sepChr m:val=","/>
            </m:dPr>
            <m:e>
              <m:sSub>
                <m:sSubPr/>
                <m:e>
                  <m:r>
                    <m:rPr/>
                    <m:t>p</m:t>
                  </m:r>
                </m:e>
                <m:sub>
                  <m:r>
                    <m:rPr/>
                    <m:t>S</m:t>
                  </m:r>
                </m:sub>
              </m:sSub>
              <m:r>
                <m:rPr/>
                <m:t>∥</m:t>
              </m:r>
              <m:sSub>
                <m:sSubPr/>
                <m:e>
                  <m:r>
                    <m:rPr/>
                    <m:t>p</m:t>
                  </m:r>
                </m:e>
                <m:sub>
                  <m:r>
                    <m:rPr/>
                    <m:t>T</m:t>
                  </m:r>
                </m:sub>
              </m:sSub>
            </m:e>
          </m:d>
          <m:r>
            <m:rPr/>
            <m:t>=</m:t>
          </m:r>
          <m:nary>
            <m:naryPr>
              <m:chr m:val="∑"/>
              <m:grow m:val="1"/>
              <m:limLoc m:val="subSup"/>
              <m:supHide m:val="1"/>
            </m:naryPr>
            <m:sub>
              <m:r>
                <m:rPr/>
                <m:t>v∈</m:t>
              </m:r>
              <m:r>
                <m:rPr>
                  <m:scr m:val="script"/>
                </m:rPr>
                <m:t>V</m:t>
              </m:r>
            </m:sub>
            <m:sup/>
            <m:e>
              <m:sSub>
                <m:sSubPr/>
                <m:e>
                  <m:r>
                    <m:rPr/>
                    <m:t>p</m:t>
                  </m:r>
                </m:e>
                <m:sub>
                  <m:r>
                    <m:rPr/>
                    <m:t>S</m:t>
                  </m:r>
                </m:sub>
              </m:sSub>
              <m:d>
                <m:dPr>
                  <m:sepChr m:val=","/>
                </m:dPr>
                <m:e>
                  <m:r>
                    <m:rPr/>
                    <m:t>v</m:t>
                  </m:r>
                </m:e>
              </m:d>
            </m:e>
          </m:nary>
          <m:r>
            <m:rPr>
              <m:sty m:val="p"/>
            </m:rPr>
            <m:t>log</m:t>
          </m:r>
          <m:d>
            <m:dPr>
              <m:sepChr m:val=","/>
            </m:dPr>
            <m:e>
              <m:f>
                <m:fPr/>
                <m:num>
                  <m:sSub>
                    <m:sSubPr/>
                    <m:e>
                      <m:r>
                        <m:rPr/>
                        <m:t>p</m:t>
                      </m:r>
                    </m:e>
                    <m:sub>
                      <m:r>
                        <m:rPr/>
                        <m:t>S</m:t>
                      </m:r>
                    </m:sub>
                  </m:sSub>
                  <m:d>
                    <m:dPr>
                      <m:sepChr m:val=","/>
                    </m:dPr>
                    <m:e>
                      <m:r>
                        <m:rPr/>
                        <m:t>v</m:t>
                      </m:r>
                    </m:e>
                  </m:d>
                </m:num>
                <m:den>
                  <m:sSub>
                    <m:sSubPr/>
                    <m:e>
                      <m:r>
                        <m:rPr/>
                        <m:t>p</m:t>
                      </m:r>
                    </m:e>
                    <m:sub>
                      <m:r>
                        <m:rPr/>
                        <m:t>T</m:t>
                      </m:r>
                    </m:sub>
                  </m:sSub>
                  <m:d>
                    <m:dPr>
                      <m:sepChr m:val=","/>
                    </m:dPr>
                    <m:e>
                      <m:r>
                        <m:rPr/>
                        <m:t>v</m:t>
                      </m:r>
                    </m:e>
                  </m:d>
                </m:den>
              </m:f>
            </m:e>
          </m:d>
        </m:oMath>
      </m:oMathPara>
    </w:p>
    <w:p>
      <w:pPr>
        <w:ind w:firstLine="420"/>
        <w:jc w:val="both"/>
      </w:pPr>
      <w:r>
        <w:t>Forward KL 以教师概率加权，通常更强调覆盖教师分布；Reverse KL 以学生概率加权，更关注学生当前高概率区域。mode-covering 与 mode-seeking 只能作为行为倾向的解释，实际结果还受模型容量、温度、采样策略和支持集影响[6][7]。</w:t>
      </w:r>
    </w:p>
    <w:p>
      <w:pPr>
        <w:ind w:firstLine="420"/>
        <w:jc w:val="both"/>
      </w:pPr>
      <w:r>
        <w:t>Jensen-Shannon 散度通过教师分布、学生分布及其混合分布定义[14]：</w:t>
      </w:r>
    </w:p>
    <w:p w14:paraId="588A8F94">
      <w:pPr>
        <w:ind w:firstLine="0"/>
        <w:jc w:val="center"/>
      </w:pPr>
      <m:oMathPara>
        <m:oMath>
          <m:r>
            <m:rPr/>
            <m:t>m=</m:t>
          </m:r>
          <m:f>
            <m:fPr/>
            <m:num>
              <m:sSub>
                <m:sSubPr/>
                <m:e>
                  <m:r>
                    <m:rPr/>
                    <m:t>p</m:t>
                  </m:r>
                </m:e>
                <m:sub>
                  <m:r>
                    <m:rPr/>
                    <m:t>T</m:t>
                  </m:r>
                </m:sub>
              </m:sSub>
              <m:r>
                <m:rPr/>
                <m:t>+</m:t>
              </m:r>
              <m:sSub>
                <m:sSubPr/>
                <m:e>
                  <m:r>
                    <m:rPr/>
                    <m:t>p</m:t>
                  </m:r>
                </m:e>
                <m:sub>
                  <m:r>
                    <m:rPr/>
                    <m:t>S</m:t>
                  </m:r>
                </m:sub>
              </m:sSub>
            </m:num>
            <m:den>
              <m:r>
                <m:rPr/>
                <m:t>2</m:t>
              </m:r>
            </m:den>
          </m:f>
          <m:r>
            <m:rPr/>
            <m:t>,</m:t>
          </m:r>
          <m:sSub>
            <m:sSubPr/>
            <m:e>
              <m:r>
                <m:rPr/>
                <m:t>D</m:t>
              </m:r>
            </m:e>
            <m:sub>
              <m:r>
                <m:rPr>
                  <m:sty m:val="p"/>
                </m:rPr>
                <m:t>JS</m:t>
              </m:r>
            </m:sub>
          </m:sSub>
          <m:d>
            <m:dPr>
              <m:sepChr m:val=","/>
            </m:dPr>
            <m:e>
              <m:sSub>
                <m:sSubPr/>
                <m:e>
                  <m:r>
                    <m:rPr/>
                    <m:t>p</m:t>
                  </m:r>
                </m:e>
                <m:sub>
                  <m:r>
                    <m:rPr/>
                    <m:t>T</m:t>
                  </m:r>
                </m:sub>
              </m:sSub>
              <m:r>
                <m:rPr/>
                <m:t>,</m:t>
              </m:r>
              <m:sSub>
                <m:sSubPr/>
                <m:e>
                  <m:r>
                    <m:rPr/>
                    <m:t>p</m:t>
                  </m:r>
                </m:e>
                <m:sub>
                  <m:r>
                    <m:rPr/>
                    <m:t>S</m:t>
                  </m:r>
                </m:sub>
              </m:sSub>
            </m:e>
          </m:d>
          <m:r>
            <m:rPr/>
            <m:t>=</m:t>
          </m:r>
          <m:f>
            <m:fPr/>
            <m:num>
              <m:r>
                <m:rPr/>
                <m:t>1</m:t>
              </m:r>
            </m:num>
            <m:den>
              <m:r>
                <m:rPr/>
                <m:t>2</m:t>
              </m:r>
            </m:den>
          </m:f>
          <m:sSub>
            <m:sSubPr/>
            <m:e>
              <m:r>
                <m:rPr/>
                <m:t>D</m:t>
              </m:r>
            </m:e>
            <m:sub>
              <m:r>
                <m:rPr>
                  <m:sty m:val="p"/>
                </m:rPr>
                <m:t>KL</m:t>
              </m:r>
            </m:sub>
          </m:sSub>
          <m:d>
            <m:dPr>
              <m:sepChr m:val=","/>
            </m:dPr>
            <m:e>
              <m:sSub>
                <m:sSubPr/>
                <m:e>
                  <m:r>
                    <m:rPr/>
                    <m:t>p</m:t>
                  </m:r>
                </m:e>
                <m:sub>
                  <m:r>
                    <m:rPr/>
                    <m:t>T</m:t>
                  </m:r>
                </m:sub>
              </m:sSub>
              <m:r>
                <m:rPr/>
                <m:t>∥m</m:t>
              </m:r>
            </m:e>
          </m:d>
          <m:r>
            <m:rPr/>
            <m:t>+</m:t>
          </m:r>
          <m:f>
            <m:fPr/>
            <m:num>
              <m:r>
                <m:rPr/>
                <m:t>1</m:t>
              </m:r>
            </m:num>
            <m:den>
              <m:r>
                <m:rPr/>
                <m:t>2</m:t>
              </m:r>
            </m:den>
          </m:f>
          <m:sSub>
            <m:sSubPr/>
            <m:e>
              <m:r>
                <m:rPr/>
                <m:t>D</m:t>
              </m:r>
            </m:e>
            <m:sub>
              <m:r>
                <m:rPr>
                  <m:sty m:val="p"/>
                </m:rPr>
                <m:t>KL</m:t>
              </m:r>
            </m:sub>
          </m:sSub>
          <m:d>
            <m:dPr>
              <m:sepChr m:val=","/>
            </m:dPr>
            <m:e>
              <m:sSub>
                <m:sSubPr/>
                <m:e>
                  <m:r>
                    <m:rPr/>
                    <m:t>p</m:t>
                  </m:r>
                </m:e>
                <m:sub>
                  <m:r>
                    <m:rPr/>
                    <m:t>S</m:t>
                  </m:r>
                </m:sub>
              </m:sSub>
              <m:r>
                <m:rPr/>
                <m:t>∥m</m:t>
              </m:r>
            </m:e>
          </m:d>
        </m:oMath>
      </m:oMathPara>
    </w:p>
    <w:p>
      <w:pPr>
        <w:ind w:firstLine="420"/>
        <w:jc w:val="both"/>
      </w:pPr>
      <w:r>
        <w:t>广义散度允许在覆盖与集中之间调节。GKD、DistiLLM 与 HPD 分别从可调散度、skew KL 和混合 KL 方向研究这一问题[6][8][11]。本文将散度定义、支持集和数值稳定化方式一并记录，避免把实现差异误判为目标函数差异。</w:t>
      </w:r>
    </w:p>
    <w:p w14:paraId="423F288F">
      <w:pPr>
        <w:pStyle w:val="3"/>
      </w:pPr>
      <w:bookmarkStart w:id="11" w:name="_Toc553094070"/>
      <w:r>
        <w:rPr>
          <w:rFonts w:ascii="黑体" w:hAnsi="黑体" w:eastAsia="黑体" w:cs="黑体"/>
          <w:b/>
          <w:color w:val="000000"/>
          <w:sz w:val="24"/>
        </w:rPr>
        <w:t>2.4 监督信息粒度与资源效率</w:t>
      </w:r>
      <w:bookmarkEnd w:id="11"/>
    </w:p>
    <w:p>
      <w:pPr>
        <w:ind w:firstLine="420"/>
        <w:jc w:val="both"/>
      </w:pPr>
      <w:r>
        <w:t>全词表监督保留教师在每个有效位置上的完整分布，信息最充分，但需要较高的计算、显存与传输开销。Top-K 只保留高概率支持集，需要明确 K 值、支持集来源、截断后的重归一化和尾部概率处理。K1 sampled-token 用单个采样 token 估计期望，开销最低，但估计方差与 proposal 分布会直接影响稳定性[10]。</w:t>
      </w:r>
    </w:p>
    <w:p>
      <w:pPr>
        <w:ind w:firstLine="420"/>
        <w:jc w:val="both"/>
      </w:pPr>
      <w:r>
        <w:t>LoRA 通过低秩增量减少学生侧可训练参数[15]，使受控对照实验能够在有限算力下实施。它只改变参数更新方式，不替代蒸馏目标；教师前向、学生 rollout 和损失计算仍是主要成本。</w:t>
      </w:r>
    </w:p>
    <w:p>
      <w:pPr>
        <w:ind w:firstLine="420"/>
        <w:jc w:val="both"/>
      </w:pPr>
      <w:r>
        <w:t>监督信息越稀疏，并不必然意味着总体效率越高。Top-K 或 K1 如果造成收敛变慢、训练波动或任务性能下降，节省的单步开销可能被更多训练步数抵消。因此，研究需要同时报告任务指标、有效 token 吞吐、教师调用量、峰值显存和训练时间。</w:t>
      </w:r>
    </w:p>
    <w:p w14:paraId="2ED621A1">
      <w:pPr>
        <w:pStyle w:val="3"/>
      </w:pPr>
      <w:bookmarkStart w:id="12" w:name="_Toc1542810274"/>
      <w:r>
        <w:rPr>
          <w:rFonts w:ascii="黑体" w:hAnsi="黑体" w:eastAsia="黑体" w:cs="黑体"/>
          <w:b/>
          <w:color w:val="000000"/>
          <w:sz w:val="24"/>
        </w:rPr>
        <w:t>2.5 Function Calling 数据与评测研究</w:t>
      </w:r>
      <w:bookmarkEnd w:id="12"/>
    </w:p>
    <w:p>
      <w:pPr>
        <w:ind w:firstLine="420"/>
        <w:jc w:val="both"/>
      </w:pPr>
      <w:r>
        <w:t>ReAct 把语言模型的推理与外部行动交替组织，为工具增强模型提供了通用范式[17]。API-Bank 构建工具规划、检索与调用基准[18]；APIGen 和 ToolACE 分别强调可执行验证与多层数据检查[19][20]。这些研究说明，Function Calling 数据不能只按文本样本处理，还需要核验 schema、参数类型、调用可执行性和对话模板。</w:t>
      </w:r>
    </w:p>
    <w:p>
      <w:pPr>
        <w:ind w:firstLine="420"/>
        <w:jc w:val="both"/>
      </w:pPr>
      <w:r>
        <w:t>BFCL 覆盖单次、并行、串行和拒答等调用场景，并通过结构和语义规则评估函数与参数[21]。总体准确率仍可能掩盖错误来源，因此本文将分别统计格式合法率、函数选择准确率、参数正确率、执行成功率和端到端任务成功率。</w:t>
      </w:r>
    </w:p>
    <w:p>
      <w:pPr>
        <w:ind w:firstLine="420"/>
        <w:jc w:val="both"/>
      </w:pPr>
      <w:r>
        <w:t>训练集与测试集还应按工具 schema、问题模板和数据来源进行隔离，防止相似 API 或合成模板造成泄漏。数据准备阶段将保存来源、版本、许可证、字段映射、去重规则和版本指纹，使方法比较能够追溯。</w:t>
      </w:r>
    </w:p>
    <w:p w14:paraId="7D373851">
      <w:pPr>
        <w:pStyle w:val="3"/>
      </w:pPr>
      <w:bookmarkStart w:id="3" w:name="_Toc365892798"/>
      <w:bookmarkEnd w:id="3"/>
      <w:r>
        <w:t>2.6 现有方法存在的问题</w:t>
      </w:r>
    </w:p>
    <w:p>
      <w:pPr>
        <w:ind w:firstLine="420"/>
        <w:jc w:val="both"/>
      </w:pPr>
      <w:r>
        <w:t>综合上述研究，现有方法仍存在三方面不足：</w:t>
      </w:r>
    </w:p>
    <w:p>
      <w:pPr>
        <w:pStyle w:val="17"/>
        <w:ind w:firstLine="420"/>
        <w:jc w:val="left"/>
      </w:pPr>
      <w:r>
        <w:t>1. 状态分布与实验协议缺少统一控制。不同研究常同时改变学生采样、数据来源、模型规模和训练预算，难以判断收益究竟来自 on-policy 状态还是其他条件。</w:t>
      </w:r>
    </w:p>
    <w:p>
      <w:pPr>
        <w:pStyle w:val="17"/>
        <w:ind w:firstLine="420"/>
        <w:jc w:val="left"/>
      </w:pPr>
      <w:r>
        <w:t>2. 散度方向与监督信息粒度相互耦合。Top-K 截断和 K1 采样会改变实际优化对象及梯度方差，如果不明确支持集和估计方式，损失名称相同也可能得到不同结果。</w:t>
      </w:r>
    </w:p>
    <w:p>
      <w:pPr>
        <w:pStyle w:val="17"/>
        <w:ind w:firstLine="420"/>
        <w:jc w:val="left"/>
      </w:pPr>
      <w:r>
        <w:t>3. token 级分布匹配与端到端工具调用之间缺少系统联系。较低的蒸馏损失不一定带来更高的函数、参数或执行正确率，训练成本与部署性能也可能呈现不同趋势。</w:t>
      </w:r>
    </w:p>
    <w:p w14:paraId="0A73208C">
      <w:pPr>
        <w:pStyle w:val="3"/>
      </w:pPr>
      <w:bookmarkStart w:id="4" w:name="_Toc1314574625"/>
      <w:bookmarkEnd w:id="4"/>
      <w:r>
        <w:t>2.7 本课题研究问题</w:t>
      </w:r>
    </w:p>
    <w:p>
      <w:pPr>
        <w:ind w:firstLine="420"/>
        <w:jc w:val="both"/>
      </w:pPr>
      <w:r>
        <w:t>针对上述不足，本课题归纳出三个相互衔接的研究问题：</w:t>
      </w:r>
    </w:p>
    <w:p>
      <w:pPr>
        <w:pStyle w:val="17"/>
        <w:ind w:firstLine="420"/>
        <w:jc w:val="left"/>
      </w:pPr>
      <w:r>
        <w:t>1. 如何在学生自身生成的 Function Calling 状态上建立接口统一、变量可控的在线策略蒸馏基线？</w:t>
      </w:r>
    </w:p>
    <w:p>
      <w:pPr>
        <w:pStyle w:val="17"/>
        <w:ind w:firstLine="420"/>
        <w:jc w:val="left"/>
      </w:pPr>
      <w:r>
        <w:t>2. 在相同学生状态与训练预算下，Forward KL、Reverse KL 和广义散度会产生怎样的学习行为与任务差异？</w:t>
      </w:r>
    </w:p>
    <w:p>
      <w:pPr>
        <w:pStyle w:val="17"/>
        <w:ind w:firstLine="420"/>
        <w:jc w:val="left"/>
      </w:pPr>
      <w:r>
        <w:t>3. 全词表、Top-K 和 K1 sampled-token 如何在任务效果、训练稳定性与教师反馈开销之间取得平衡？</w:t>
      </w:r>
    </w:p>
    <w:p>
      <w:pPr>
        <w:ind w:firstLine="420"/>
        <w:jc w:val="both"/>
      </w:pPr>
      <w:r>
        <w:t>这三个问题分别对应论文第 2、3、4 章，并在第 3 部分进一步说明研究内容及其关系。</w:t>
      </w:r>
    </w:p>
    <w:p w14:paraId="779437DC">
      <w:pPr>
        <w:pStyle w:val="2"/>
      </w:pPr>
      <w:bookmarkStart w:id="13" w:name="_Toc1294721240"/>
      <w:r>
        <w:rPr>
          <w:rFonts w:ascii="黑体" w:hAnsi="黑体" w:eastAsia="黑体" w:cs="黑体"/>
          <w:b/>
          <w:color w:val="000000"/>
          <w:sz w:val="28"/>
        </w:rPr>
        <w:t>3．主要研究内容</w:t>
      </w:r>
      <w:bookmarkEnd w:id="13"/>
    </w:p>
    <w:p>
      <w:pPr>
        <w:ind w:firstLine="420"/>
        <w:jc w:val="both"/>
      </w:pPr>
      <w:r>
        <w:t>研究内容围绕三个问题组织。三者分别对应论文第 2、3、4 章：先建立可复现的在线策略蒸馏基线，再比较散度方向，最后分析监督信息粒度下的效果与效率权衡。</w:t>
      </w:r>
    </w:p>
    <w:p w14:paraId="7167A508">
      <w:pPr>
        <w:pStyle w:val="3"/>
      </w:pPr>
      <w:bookmarkStart w:id="14" w:name="_Toc2075569276"/>
      <w:bookmarkEnd w:id="14"/>
      <w:r>
        <w:t>3.1 学生状态分布下的在线蒸馏基线问题</w:t>
      </w:r>
    </w:p>
    <w:p>
      <w:pPr>
        <w:ind w:firstLine="420"/>
        <w:jc w:val="both"/>
      </w:pPr>
      <w:r>
        <w:t>该问题对应论文第 2 章。研究以学生自主生成的 Function Calling 轨迹为训练状态，冻结教师在相同前缀上提供 token 分布，学生仅更新 LoRA 参数。核心是统一数据格式、消息模板、token 对齐、rollout 规则、有效位置 mask 和训练预算。</w:t>
      </w:r>
    </w:p>
    <w:p>
      <w:pPr>
        <w:ind w:firstLine="420"/>
        <w:jc w:val="both"/>
      </w:pPr>
      <w:r>
        <w:t>实验先建立 SFT 或离线蒸馏参照，再验证学生 rollout、教师评分和梯度更新能否稳定闭环。输出包括可复现的训练流程、状态分布统计和基础任务指标，为后续两个问题提供共同基线。</w:t>
      </w:r>
    </w:p>
    <w:p w14:paraId="3EBAB668">
      <w:pPr>
        <w:pStyle w:val="3"/>
      </w:pPr>
      <w:bookmarkStart w:id="15" w:name="_Toc368459864"/>
      <w:bookmarkEnd w:id="15"/>
      <w:r>
        <w:t>3.2 散度方向与学习行为差异问题</w:t>
      </w:r>
    </w:p>
    <w:p>
      <w:pPr>
        <w:ind w:firstLine="420"/>
        <w:jc w:val="both"/>
      </w:pPr>
      <w:r>
        <w:t>该问题对应论文第 3 章。在固定学生状态、教师模型和监督信息范围的条件下，比较 Forward KL、Reverse KL 和代表性广义散度，分析不同目标对概率覆盖、模式集中、熵变化和梯度稳定性的影响。</w:t>
      </w:r>
    </w:p>
    <w:p>
      <w:pPr>
        <w:ind w:firstLine="420"/>
        <w:jc w:val="both"/>
      </w:pPr>
      <w:r>
        <w:t>结果不仅报告总体任务得分，还按函数选择、参数生成、格式合法性和拒答行为分类，并结合师生分布差异解释性能变化，避免只依据损失数值判断方法优劣。</w:t>
      </w:r>
    </w:p>
    <w:p w14:paraId="60FC92F0">
      <w:pPr>
        <w:pStyle w:val="3"/>
      </w:pPr>
      <w:bookmarkStart w:id="16" w:name="_Toc1509579947"/>
      <w:bookmarkEnd w:id="16"/>
      <w:r>
        <w:t>3.3 监督信息粒度与效果效率权衡问题</w:t>
      </w:r>
    </w:p>
    <w:p>
      <w:pPr>
        <w:ind w:firstLine="420"/>
        <w:jc w:val="both"/>
      </w:pPr>
      <w:r>
        <w:t>该问题对应论文第 4 章。在相同散度定义和训练预算下，比较全词表、Top-K 与 K1 sampled-token。研究重点是支持集截断、尾部概率处理和单样本估计如何改变有效监督、梯度方差及教师计算开销。</w:t>
      </w:r>
    </w:p>
    <w:p>
      <w:pPr>
        <w:ind w:firstLine="420"/>
        <w:jc w:val="both"/>
      </w:pPr>
      <w:r>
        <w:t>评价同时覆盖 Function Calling 正确性、训练稳定性、教师反馈量、训练吞吐、峰值显存和最终推理性能，从而判断稀疏监督节省的资源是否足以补偿可能的性能损失。</w:t>
      </w:r>
    </w:p>
    <w:p>
      <w:pPr>
        <w:ind w:firstLine="420"/>
        <w:jc w:val="both"/>
      </w:pPr>
      <w:r>
        <w:t>三个问题的关系如图 1 所示。问题一界定教师反馈所作用的学生状态分布；在该分布上，问题二决定师生分布如何匹配，问题三决定匹配目标如何由有限教师信息估计。三者共同影响更新梯度、优化稳定性、Function Calling 正确性与教师反馈成本，更新后的学生又会改变下一轮状态分布，形成在线闭环。</w:t>
      </w:r>
    </w:p>
    <w:p>
      <w:pPr>
        <w:ind w:firstLine="0"/>
        <w:jc w:val="center"/>
        <w:keepNext/>
      </w:pPr>
      <w:r>
        <w:drawing>
          <wp:inline xmlns:a="http://schemas.openxmlformats.org/drawingml/2006/main" xmlns:pic="http://schemas.openxmlformats.org/drawingml/2006/picture">
            <wp:extent cx="5623560" cy="3514725"/>
            <wp:docPr id="7" name="三个研究问题关系图" descr="问题一建立在线策略蒸馏基线，问题二和问题三分别研究散度方向与监督信息粒度，并共同形成统一实验矩阵和评测。"/>
            <wp:cNvGraphicFramePr>
              <a:graphicFrameLocks noChangeAspect="1"/>
            </wp:cNvGraphicFramePr>
            <a:graphic>
              <a:graphicData uri="http://schemas.openxmlformats.org/drawingml/2006/picture">
                <pic:pic>
                  <pic:nvPicPr>
                    <pic:cNvPr id="0" name="opd_research_questions_final_v2.png"/>
                    <pic:cNvPicPr/>
                  </pic:nvPicPr>
                  <pic:blipFill>
                    <a:blip r:embed="rId13"/>
                    <a:stretch>
                      <a:fillRect/>
                    </a:stretch>
                  </pic:blipFill>
                  <pic:spPr>
                    <a:xfrm>
                      <a:off x="0" y="0"/>
                      <a:ext cx="5623560" cy="3514725"/>
                    </a:xfrm>
                    <a:prstGeom prst="rect"/>
                  </pic:spPr>
                </pic:pic>
              </a:graphicData>
            </a:graphic>
          </wp:inline>
        </w:drawing>
      </w:r>
    </w:p>
    <w:p>
      <w:pPr>
        <w:spacing w:before="80" w:after="80" w:line="240" w:lineRule="auto"/>
        <w:ind w:left="0" w:right="0" w:firstLine="0"/>
        <w:jc w:val="center"/>
      </w:pPr>
      <w:r>
        <w:t>图 1 三个研究问题及其关系</w:t>
      </w:r>
    </w:p>
    <w:p w14:paraId="575D3309">
      <w:pPr>
        <w:pStyle w:val="2"/>
      </w:pPr>
      <w:bookmarkStart w:id="21" w:name="_Toc34357224"/>
      <w:r>
        <w:rPr>
          <w:rFonts w:ascii="黑体" w:hAnsi="黑体" w:eastAsia="黑体" w:cs="黑体"/>
          <w:b/>
          <w:color w:val="000000"/>
          <w:sz w:val="28"/>
        </w:rPr>
        <w:t>4．研究方案</w:t>
      </w:r>
      <w:bookmarkEnd w:id="21"/>
    </w:p>
    <w:p w14:paraId="1076D32B">
      <w:pPr>
        <w:pStyle w:val="3"/>
      </w:pPr>
      <w:bookmarkStart w:id="22" w:name="_Toc1916246372"/>
      <w:r>
        <w:rPr>
          <w:rFonts w:ascii="黑体" w:hAnsi="黑体" w:eastAsia="黑体" w:cs="黑体"/>
          <w:b/>
          <w:color w:val="000000"/>
          <w:sz w:val="24"/>
        </w:rPr>
        <w:t>4.1 总体技术路线</w:t>
      </w:r>
      <w:bookmarkEnd w:id="22"/>
    </w:p>
    <w:p>
      <w:pPr>
        <w:ind w:firstLine="420"/>
        <w:jc w:val="both"/>
      </w:pPr>
      <w:r>
        <w:t>研究总体技术路线如图 2 所示。给定输入与当前学生参数，学生首先按自身策略生成序列，并定义第 t 个位置的状态：</w:t>
      </w:r>
    </w:p>
    <w:p>
      <w:pPr>
        <w:ind w:firstLine="0"/>
        <w:jc w:val="center"/>
      </w:pPr>
      <m:oMathPara>
        <m:oMath>
          <m:sSub>
            <m:sSubPr/>
            <m:e>
              <m:r>
                <m:rPr/>
                <m:t>y</m:t>
              </m:r>
            </m:e>
            <m:sub>
              <m:r>
                <m:rPr/>
                <m:t>1:T</m:t>
              </m:r>
            </m:sub>
          </m:sSub>
          <m:r>
            <m:rPr/>
            <m:t> ∼ </m:t>
          </m:r>
          <m:sSub>
            <m:sSubPr/>
            <m:e>
              <m:r>
                <m:rPr/>
                <m:t>π</m:t>
              </m:r>
            </m:e>
            <m:sub>
              <m:r>
                <m:rPr/>
                <m:t>θ</m:t>
              </m:r>
            </m:sub>
          </m:sSub>
          <m:d>
            <m:dPr/>
            <m:e>
              <m:r>
                <m:rPr/>
                <m:t>· | x</m:t>
              </m:r>
            </m:e>
          </m:d>
          <m:r>
            <m:rPr/>
            <m:t>,    </m:t>
          </m:r>
          <m:sSub>
            <m:sSubPr/>
            <m:e>
              <m:r>
                <m:rPr/>
                <m:t>s</m:t>
              </m:r>
            </m:e>
            <m:sub>
              <m:r>
                <m:rPr/>
                <m:t>t</m:t>
              </m:r>
            </m:sub>
          </m:sSub>
          <m:r>
            <m:rPr/>
            <m:t> = </m:t>
          </m:r>
          <m:d>
            <m:dPr/>
            <m:e>
              <m:r>
                <m:rPr/>
                <m:t>x, </m:t>
              </m:r>
              <m:sSub>
                <m:sSubPr/>
                <m:e>
                  <m:r>
                    <m:rPr/>
                    <m:t>y</m:t>
                  </m:r>
                </m:e>
                <m:sub>
                  <m:r>
                    <m:rPr/>
                    <m:t>&lt;t</m:t>
                  </m:r>
                </m:sub>
              </m:sSub>
            </m:e>
          </m:d>
        </m:oMath>
      </m:oMathPara>
    </w:p>
    <w:p>
      <w:pPr>
        <w:ind w:firstLine="420"/>
        <w:jc w:val="both"/>
      </w:pPr>
      <w:r>
        <w:t>冻结教师参数记为 φ。教师与学生在相同状态上给出的 token 分布分别为：</w:t>
      </w:r>
    </w:p>
    <w:p>
      <w:pPr>
        <w:ind w:firstLine="0"/>
        <w:jc w:val="center"/>
      </w:pPr>
      <m:oMathPara>
        <m:oMath>
          <m:sSub>
            <m:sSubPr/>
            <m:e>
              <m:r>
                <m:rPr/>
                <m:t>p</m:t>
              </m:r>
            </m:e>
            <m:sub>
              <m:r>
                <m:rPr/>
                <m:t>S,t</m:t>
              </m:r>
            </m:sub>
          </m:sSub>
          <m:r>
            <m:rPr/>
            <m:t> = </m:t>
          </m:r>
          <m:sSub>
            <m:sSubPr/>
            <m:e>
              <m:r>
                <m:rPr/>
                <m:t>π</m:t>
              </m:r>
            </m:e>
            <m:sub>
              <m:r>
                <m:rPr/>
                <m:t>θ</m:t>
              </m:r>
            </m:sub>
          </m:sSub>
          <m:d>
            <m:dPr/>
            <m:e>
              <m:r>
                <m:rPr/>
                <m:t>· | </m:t>
              </m:r>
              <m:sSub>
                <m:sSubPr/>
                <m:e>
                  <m:r>
                    <m:rPr/>
                    <m:t>s</m:t>
                  </m:r>
                </m:e>
                <m:sub>
                  <m:r>
                    <m:rPr/>
                    <m:t>t</m:t>
                  </m:r>
                </m:sub>
              </m:sSub>
            </m:e>
          </m:d>
          <m:r>
            <m:rPr/>
            <m:t>,    </m:t>
          </m:r>
          <m:sSub>
            <m:sSubPr/>
            <m:e>
              <m:r>
                <m:rPr/>
                <m:t>p</m:t>
              </m:r>
            </m:e>
            <m:sub>
              <m:r>
                <m:rPr/>
                <m:t>T,t</m:t>
              </m:r>
            </m:sub>
          </m:sSub>
          <m:r>
            <m:rPr/>
            <m:t> = </m:t>
          </m:r>
          <m:sSub>
            <m:sSubPr/>
            <m:e>
              <m:r>
                <m:rPr/>
                <m:t>π</m:t>
              </m:r>
            </m:e>
            <m:sub>
              <m:r>
                <m:rPr/>
                <m:t>φ</m:t>
              </m:r>
            </m:sub>
          </m:sSub>
          <m:d>
            <m:dPr/>
            <m:e>
              <m:r>
                <m:rPr/>
                <m:t>· | </m:t>
              </m:r>
              <m:sSub>
                <m:sSubPr/>
                <m:e>
                  <m:r>
                    <m:rPr/>
                    <m:t>s</m:t>
                  </m:r>
                </m:e>
                <m:sub>
                  <m:r>
                    <m:rPr/>
                    <m:t>t</m:t>
                  </m:r>
                </m:sub>
              </m:sSub>
            </m:e>
          </m:d>
        </m:oMath>
      </m:oMathPara>
    </w:p>
    <w:p>
      <w:pPr>
        <w:ind w:firstLine="420"/>
        <w:jc w:val="both"/>
      </w:pPr>
      <w:r>
        <w:t>统一的在线策略蒸馏目标写为：</w:t>
      </w:r>
    </w:p>
    <w:p>
      <w:pPr>
        <w:ind w:firstLine="0"/>
        <w:jc w:val="center"/>
      </w:pPr>
      <m:oMathPara>
        <m:oMath>
          <m:r>
            <m:rPr/>
            <m:t>θ*</m:t>
          </m:r>
          <m:r>
            <m:rPr/>
            <m:t> = </m:t>
          </m:r>
          <m:sSub>
            <m:sSubPr/>
            <m:e>
              <m:r>
                <m:rPr/>
                <m:t>arg min</m:t>
              </m:r>
            </m:e>
            <m:sub>
              <m:r>
                <m:rPr/>
                <m:t>θ</m:t>
              </m:r>
            </m:sub>
          </m:sSub>
          <m:sSub>
            <m:sSubPr/>
            <m:e>
              <m:r>
                <m:rPr/>
                <m:t>E</m:t>
              </m:r>
            </m:e>
            <m:sub>
              <m:r>
                <m:rPr/>
                <m:t>x∼𝒟, y∼πθ</m:t>
              </m:r>
            </m:sub>
          </m:sSub>
          <m:d>
            <m:dPr/>
            <m:e>
              <m:f>
                <m:fPr/>
                <m:num>
                  <m:sSubSup>
                    <m:sSubSupPr/>
                    <m:e>
                      <m:r>
                        <m:rPr/>
                        <m:t>∑</m:t>
                      </m:r>
                    </m:e>
                    <m:sub>
                      <m:r>
                        <m:rPr/>
                        <m:t>t=1</m:t>
                      </m:r>
                    </m:sub>
                    <m:sup>
                      <m:r>
                        <m:rPr/>
                        <m:t>T</m:t>
                      </m:r>
                    </m:sup>
                  </m:sSubSup>
                  <m:sSub>
                    <m:sSubPr/>
                    <m:e>
                      <m:r>
                        <m:rPr/>
                        <m:t>m</m:t>
                      </m:r>
                    </m:e>
                    <m:sub>
                      <m:r>
                        <m:rPr/>
                        <m:t>t</m:t>
                      </m:r>
                    </m:sub>
                  </m:sSub>
                  <m:sSub>
                    <m:sSubPr/>
                    <m:e>
                      <m:r>
                        <m:rPr/>
                        <m:t>D</m:t>
                      </m:r>
                    </m:e>
                    <m:sub>
                      <m:r>
                        <m:rPr/>
                        <m:t>δ</m:t>
                      </m:r>
                    </m:sub>
                  </m:sSub>
                  <m:d>
                    <m:dPr/>
                    <m:e>
                      <m:sSub>
                        <m:sSubPr/>
                        <m:e>
                          <m:r>
                            <m:rPr/>
                            <m:t>p</m:t>
                          </m:r>
                        </m:e>
                        <m:sub>
                          <m:r>
                            <m:rPr/>
                            <m:t>T,t</m:t>
                          </m:r>
                        </m:sub>
                      </m:sSub>
                      <m:r>
                        <m:rPr/>
                        <m:t> ∥ </m:t>
                      </m:r>
                      <m:sSub>
                        <m:sSubPr/>
                        <m:e>
                          <m:r>
                            <m:rPr/>
                            <m:t>p</m:t>
                          </m:r>
                        </m:e>
                        <m:sub>
                          <m:r>
                            <m:rPr/>
                            <m:t>S,t</m:t>
                          </m:r>
                        </m:sub>
                      </m:sSub>
                    </m:e>
                  </m:d>
                </m:num>
                <m:den>
                  <m:sSubSup>
                    <m:sSubSupPr/>
                    <m:e>
                      <m:r>
                        <m:rPr/>
                        <m:t>∑</m:t>
                      </m:r>
                    </m:e>
                    <m:sub>
                      <m:r>
                        <m:rPr/>
                        <m:t>t=1</m:t>
                      </m:r>
                    </m:sub>
                    <m:sup>
                      <m:r>
                        <m:rPr/>
                        <m:t>T</m:t>
                      </m:r>
                    </m:sup>
                  </m:sSubSup>
                  <m:sSub>
                    <m:sSubPr/>
                    <m:e>
                      <m:r>
                        <m:rPr/>
                        <m:t>m</m:t>
                      </m:r>
                    </m:e>
                    <m:sub>
                      <m:r>
                        <m:rPr/>
                        <m:t>t</m:t>
                      </m:r>
                    </m:sub>
                  </m:sSub>
                </m:den>
              </m:f>
            </m:e>
          </m:d>
        </m:oMath>
      </m:oMathPara>
    </w:p>
    <w:p>
      <w:pPr>
        <w:ind w:firstLine="420"/>
        <w:jc w:val="both"/>
      </w:pPr>
      <w:r>
        <w:t>其中，𝒟 表示训练输入分布；有效位置掩码由消息边界、工具边界和响应位置共同确定；散度参数指定 Forward KL、Reverse KL 或广义散度。该形式把学生状态分布、散度方向和监督信息粒度统一到同一目标中。</w:t>
      </w:r>
    </w:p>
    <w:p>
      <w:pPr>
        <w:ind w:firstLine="420"/>
        <w:jc w:val="both"/>
      </w:pPr>
      <w:r>
        <w:t>每项实验同时记录研究定义、数据定义、模型定义和运行定义，包括散度及支持集、数据版本与划分、师生模型及模板、随机种子与计算环境，确保结果能够追溯。</w:t>
      </w:r>
    </w:p>
    <w:p w14:paraId="1914937F">
      <w:pPr>
        <w:ind w:firstLine="0"/>
        <w:jc w:val="center"/>
      </w:pPr>
      <w:r>
        <w:drawing>
          <wp:inline distT="0" distB="0" distL="114300" distR="114300">
            <wp:extent cx="5806440" cy="2177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806440" cy="2177415"/>
                    </a:xfrm>
                    <a:prstGeom prst="rect">
                      <a:avLst/>
                    </a:prstGeom>
                  </pic:spPr>
                </pic:pic>
              </a:graphicData>
            </a:graphic>
          </wp:inline>
        </w:drawing>
      </w:r>
    </w:p>
    <w:p>
      <w:pPr>
        <w:keepNext/>
        <w:spacing w:before="80" w:after="80" w:line="240" w:lineRule="auto"/>
        <w:ind w:left="0" w:right="0" w:firstLine="0"/>
        <w:jc w:val="center"/>
      </w:pPr>
      <w:r>
        <w:t>图 2 研究总体技术路线</w:t>
      </w:r>
    </w:p>
    <w:p w14:paraId="51D0960D">
      <w:pPr>
        <w:pStyle w:val="3"/>
      </w:pPr>
      <w:bookmarkStart w:id="24" w:name="_Toc540520145"/>
      <w:r>
        <w:rPr>
          <w:rFonts w:ascii="黑体" w:hAnsi="黑体" w:eastAsia="黑体" w:cs="黑体"/>
          <w:b/>
          <w:color w:val="000000"/>
          <w:sz w:val="24"/>
        </w:rPr>
        <w:t>4.2 模型和数据准备</w:t>
      </w:r>
      <w:bookmarkEnd w:id="24"/>
    </w:p>
    <w:p w14:paraId="51F515C2">
      <w:pPr>
        <w:ind w:firstLine="420"/>
        <w:jc w:val="both"/>
      </w:pPr>
      <w:r>
        <w:t>模型方面，选用 Qwen3-0.6B 作为学生、Qwen3-4B 作为教师。教师参数保持冻结，学生仅更新 LoRA 参数。训练前检查师生 tokenizer 的词表、特殊 token、消息模板和函数调用格式，并通过回环测试验证编码、解码与 token 对齐。模型家族信息以 Qwen3 技术报告为依据[12]。</w:t>
      </w:r>
    </w:p>
    <w:p w14:paraId="33260523">
      <w:pPr>
        <w:ind w:firstLine="420"/>
        <w:jc w:val="both"/>
      </w:pPr>
      <w:r>
        <w:t>数据方面，核验公开 Function Calling 数据的来源、许可证、字段含义和版本，再把实际字段转换为统一的用户消息、工具 schema、调用响应与工具结果表示。训练集、验证集和测试集按照来源与模板隔离，并记录划分比例、子集范围和去重规则。API-Bank、APIGen 和 ToolACE 为数据选择与构造提供参考[18][19][20]。</w:t>
      </w:r>
    </w:p>
    <w:p w14:paraId="1EA2CC71">
      <w:pPr>
        <w:ind w:firstLine="420"/>
        <w:jc w:val="both"/>
      </w:pPr>
      <w:r>
        <w:t>数据审计重点处理三类异常：schema 语法错误、参数标签与用户意图不一致，以及工具返回缺失或格式不统一。评测器保留原始样本、规范化样本和失败原因，并对自动检查结果进行抽样复核。</w:t>
      </w:r>
    </w:p>
    <w:p w14:paraId="681BB8C6">
      <w:pPr>
        <w:pStyle w:val="3"/>
      </w:pPr>
      <w:bookmarkStart w:id="25" w:name="_Toc666250205"/>
      <w:r>
        <w:rPr>
          <w:rFonts w:ascii="黑体" w:hAnsi="黑体" w:eastAsia="黑体" w:cs="黑体"/>
          <w:b/>
          <w:color w:val="000000"/>
          <w:sz w:val="24"/>
        </w:rPr>
        <w:t>4.3 学生 rollout 和教师反馈</w:t>
      </w:r>
      <w:bookmarkEnd w:id="25"/>
    </w:p>
    <w:p w14:paraId="343B3713">
      <w:pPr>
        <w:spacing w:before="0" w:after="0" w:line="360" w:lineRule="auto"/>
        <w:ind w:firstLine="420"/>
        <w:jc w:val="both"/>
      </w:pPr>
      <w:r>
        <w:t>在线策略蒸馏的训练、反馈与评测关系如图 3 所示。</w:t>
      </w:r>
    </w:p>
    <w:p w14:paraId="03869395">
      <w:pPr>
        <w:ind w:firstLine="420"/>
        <w:jc w:val="both"/>
      </w:pPr>
      <w:r>
        <w:t>学生 rollout 的温度、停止条件、最大生成长度、非法格式处理和重试规则均作为控制变量写入配置；所有比较组使用相同的采样与后处理协议。</w:t>
      </w:r>
    </w:p>
    <w:p w14:paraId="38107A53">
      <w:pPr>
        <w:ind w:firstLine="420"/>
        <w:jc w:val="both"/>
      </w:pPr>
      <w:r>
        <w:t>教师模型在学生访问的前缀上提供完整分布或局部 token 信息，学生模型依据相同前缀计算蒸馏目标，教师参数始终冻结。全词表、Top-K 和 K1 只改变教师信息的保留或估计方式，数据划分、rollout 条件和总训练预算保持不变。</w:t>
      </w:r>
    </w:p>
    <w:p w14:paraId="34612BD4">
      <w:pPr>
        <w:keepNext/>
        <w:spacing w:before="80" w:after="80" w:line="240" w:lineRule="auto"/>
        <w:ind w:left="0" w:right="0" w:firstLine="0"/>
        <w:jc w:val="center"/>
      </w:pPr>
      <w:r>
        <w:rPr>
          <w:rFonts w:ascii="Times New Roman" w:hAnsi="Times New Roman" w:eastAsia="Songti SC"/>
          <w:sz w:val="21"/>
        </w:rPr>
        <w:t xml:space="preserve">表 </w:t>
      </w:r>
      <w:bookmarkStart w:id="26" w:name="_RefTable4_1"/>
      <w:r>
        <w:rPr>
          <w:rFonts w:ascii="Times New Roman" w:hAnsi="Times New Roman" w:eastAsia="Songti SC"/>
          <w:sz w:val="21"/>
        </w:rPr>
        <w:t>4-</w:t>
      </w:r>
      <w:r>
        <w:rPr>
          <w:rFonts w:ascii="Times New Roman" w:hAnsi="Times New Roman" w:eastAsia="Songti SC"/>
          <w:sz w:val="21"/>
        </w:rPr>
        <w:fldChar w:fldCharType="begin"/>
      </w:r>
      <w:r>
        <w:rPr>
          <w:rFonts w:ascii="Times New Roman" w:hAnsi="Times New Roman" w:eastAsia="Songti SC"/>
          <w:sz w:val="21"/>
        </w:rPr>
        <w:instrText xml:space="preserve"> SEQ TableCh4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26"/>
      <w:r>
        <w:rPr>
          <w:rFonts w:ascii="Times New Roman" w:hAnsi="Times New Roman" w:eastAsia="Songti SC"/>
          <w:sz w:val="21"/>
        </w:rPr>
        <w:t xml:space="preserve">  在线策略蒸馏各环节的统一与记录要求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2996"/>
        <w:gridCol w:w="2810"/>
      </w:tblGrid>
      <w:tr w14:paraId="50064079">
        <w:trPr>
          <w:tblHeader/>
        </w:trPr>
        <w:tc>
          <w:tcPr>
            <w:tcW w:w="4148" w:type="dxa"/>
          </w:tcPr>
          <w:p w14:paraId="0C49D226">
            <w:pPr>
              <w:ind w:firstLine="0"/>
              <w:jc w:val="left"/>
            </w:pPr>
            <w:r>
              <w:rPr>
                <w:b/>
              </w:rPr>
              <w:t>环节</w:t>
            </w:r>
          </w:p>
        </w:tc>
        <w:tc>
          <w:tcPr>
            <w:tcW w:w="4148" w:type="dxa"/>
          </w:tcPr>
          <w:p w14:paraId="336AD755">
            <w:pPr>
              <w:ind w:firstLine="0"/>
              <w:jc w:val="left"/>
            </w:pPr>
            <w:r>
              <w:rPr>
                <w:b/>
              </w:rPr>
              <w:t>需要统一的对象</w:t>
            </w:r>
          </w:p>
        </w:tc>
        <w:tc>
          <w:tcPr>
            <w:tcW w:w="4148" w:type="dxa"/>
          </w:tcPr>
          <w:p w14:paraId="31867045">
            <w:pPr>
              <w:ind w:firstLine="0"/>
              <w:jc w:val="left"/>
            </w:pPr>
            <w:r>
              <w:rPr>
                <w:b/>
              </w:rPr>
              <w:t>需要单独记录的内容</w:t>
            </w:r>
          </w:p>
        </w:tc>
      </w:tr>
      <w:tr w14:paraId="01332DD2">
        <w:tc>
          <w:tcPr>
            <w:tcW w:w="4148" w:type="dxa"/>
          </w:tcPr>
          <w:p w14:paraId="09B52528">
            <w:pPr>
              <w:ind w:firstLine="0"/>
              <w:jc w:val="left"/>
            </w:pPr>
            <w:r>
              <w:t>学生生成</w:t>
            </w:r>
          </w:p>
        </w:tc>
        <w:tc>
          <w:tcPr>
            <w:tcW w:w="4148" w:type="dxa"/>
          </w:tcPr>
          <w:p w14:paraId="3826A6F6">
            <w:pPr>
              <w:ind w:firstLine="0"/>
              <w:jc w:val="left"/>
            </w:pPr>
            <w:r>
              <w:t>输入消息、工具 schema、停止条件和采样规则</w:t>
            </w:r>
          </w:p>
        </w:tc>
        <w:tc>
          <w:tcPr>
            <w:tcW w:w="4148" w:type="dxa"/>
          </w:tcPr>
          <w:p w14:paraId="354CD563">
            <w:pPr>
              <w:ind w:firstLine="0"/>
              <w:jc w:val="left"/>
            </w:pPr>
            <w:r>
              <w:t>生成长度、结束原因、格式解析状态</w:t>
            </w:r>
          </w:p>
        </w:tc>
      </w:tr>
      <w:tr w14:paraId="66AC128B">
        <w:tc>
          <w:tcPr>
            <w:tcW w:w="4148" w:type="dxa"/>
          </w:tcPr>
          <w:p w14:paraId="3B8D2172">
            <w:pPr>
              <w:ind w:firstLine="0"/>
              <w:jc w:val="left"/>
            </w:pPr>
            <w:r>
              <w:t>教师反馈</w:t>
            </w:r>
          </w:p>
        </w:tc>
        <w:tc>
          <w:tcPr>
            <w:tcW w:w="4148" w:type="dxa"/>
          </w:tcPr>
          <w:p w14:paraId="446F33C3">
            <w:pPr>
              <w:ind w:firstLine="0"/>
              <w:jc w:val="left"/>
            </w:pPr>
            <w:r>
              <w:t>学生前缀、教师模型与 token 对齐关系</w:t>
            </w:r>
          </w:p>
        </w:tc>
        <w:tc>
          <w:tcPr>
            <w:tcW w:w="4148" w:type="dxa"/>
          </w:tcPr>
          <w:p w14:paraId="35BEDF60">
            <w:pPr>
              <w:ind w:firstLine="0"/>
              <w:jc w:val="left"/>
            </w:pPr>
            <w:r>
              <w:t>反馈粒度、支持集和教师计算量</w:t>
            </w:r>
          </w:p>
        </w:tc>
      </w:tr>
      <w:tr w14:paraId="2B2B9D61">
        <w:tc>
          <w:tcPr>
            <w:tcW w:w="4148" w:type="dxa"/>
          </w:tcPr>
          <w:p w14:paraId="39CF59A9">
            <w:pPr>
              <w:ind w:firstLine="0"/>
              <w:jc w:val="left"/>
            </w:pPr>
            <w:r>
              <w:t>学生更新</w:t>
            </w:r>
          </w:p>
        </w:tc>
        <w:tc>
          <w:tcPr>
            <w:tcW w:w="4148" w:type="dxa"/>
          </w:tcPr>
          <w:p w14:paraId="254427D2">
            <w:pPr>
              <w:ind w:firstLine="0"/>
              <w:jc w:val="left"/>
            </w:pPr>
            <w:r>
              <w:t>学生 logits、LoRA 参数和 mask</w:t>
            </w:r>
          </w:p>
        </w:tc>
        <w:tc>
          <w:tcPr>
            <w:tcW w:w="4148" w:type="dxa"/>
          </w:tcPr>
          <w:p w14:paraId="5442D8FD">
            <w:pPr>
              <w:ind w:firstLine="0"/>
              <w:jc w:val="left"/>
            </w:pPr>
            <w:r>
              <w:t>散度设置、梯度处理和异常损失</w:t>
            </w:r>
          </w:p>
        </w:tc>
      </w:tr>
      <w:tr w14:paraId="736CFA89">
        <w:tc>
          <w:tcPr>
            <w:tcW w:w="4148" w:type="dxa"/>
          </w:tcPr>
          <w:p w14:paraId="44613D10">
            <w:pPr>
              <w:ind w:firstLine="0"/>
              <w:jc w:val="left"/>
            </w:pPr>
            <w:r>
              <w:t>最终评测</w:t>
            </w:r>
          </w:p>
        </w:tc>
        <w:tc>
          <w:tcPr>
            <w:tcW w:w="4148" w:type="dxa"/>
          </w:tcPr>
          <w:p w14:paraId="14EEC403">
            <w:pPr>
              <w:ind w:firstLine="0"/>
              <w:jc w:val="left"/>
            </w:pPr>
            <w:r>
              <w:t>输入、工具和解析规则</w:t>
            </w:r>
          </w:p>
        </w:tc>
        <w:tc>
          <w:tcPr>
            <w:tcW w:w="4148" w:type="dxa"/>
          </w:tcPr>
          <w:p w14:paraId="1D018489">
            <w:pPr>
              <w:ind w:firstLine="0"/>
              <w:jc w:val="left"/>
            </w:pPr>
            <w:r>
              <w:t>函数、参数、执行及端到端调用结果</w:t>
            </w:r>
          </w:p>
        </w:tc>
      </w:tr>
    </w:tbl>
    <w:p w14:paraId="1A4B1F6D">
      <w:pPr>
        <w:ind w:firstLine="420"/>
        <w:jc w:val="both"/>
      </w:pPr>
      <w:r>
        <w:t>所有方法共用数据读取、学生 rollout、教师评分和指标记录接口，使不同对照组仅在目标函数或监督信息粒度上有所区别。</w:t>
      </w:r>
    </w:p>
    <w:p w14:paraId="06023151">
      <w:pPr>
        <w:ind w:firstLine="0"/>
        <w:jc w:val="center"/>
      </w:pPr>
      <w:r>
        <w:drawing>
          <wp:inline distT="0" distB="0" distL="114300" distR="114300">
            <wp:extent cx="5669280" cy="2881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881884"/>
                    </a:xfrm>
                    <a:prstGeom prst="rect">
                      <a:avLst/>
                    </a:prstGeom>
                  </pic:spPr>
                </pic:pic>
              </a:graphicData>
            </a:graphic>
          </wp:inline>
        </w:drawing>
      </w:r>
    </w:p>
    <w:p w14:paraId="35FC3DD0">
      <w:pPr>
        <w:spacing w:before="0" w:after="120" w:line="240" w:lineRule="auto"/>
        <w:ind w:firstLine="0"/>
        <w:jc w:val="center"/>
      </w:pPr>
      <w:bookmarkStart w:id="27" w:name="_RefFigure2"/>
      <w:bookmarkEnd w:id="27"/>
      <w:r>
        <w:t>图 3 在线策略蒸馏训练与性能评测流程</w:t>
      </w:r>
    </w:p>
    <w:p w14:paraId="5E2DE293">
      <w:pPr>
        <w:pStyle w:val="3"/>
      </w:pPr>
      <w:bookmarkStart w:id="28" w:name="_Toc687459977"/>
      <w:r>
        <w:rPr>
          <w:rFonts w:ascii="黑体" w:hAnsi="黑体" w:eastAsia="黑体" w:cs="黑体"/>
          <w:b/>
          <w:color w:val="000000"/>
          <w:sz w:val="24"/>
        </w:rPr>
        <w:t>4.4 损失与监督信息粒度/估计方式的定义原则</w:t>
      </w:r>
      <w:bookmarkEnd w:id="28"/>
    </w:p>
    <w:p>
      <w:pPr>
        <w:ind w:firstLine="420"/>
        <w:jc w:val="both"/>
      </w:pPr>
      <w:r>
        <w:t>在全词表方案中，教师与学生在每个有效位置上使用完整词表分布，批次级目标按有效 token 加权平均：</w:t>
      </w:r>
    </w:p>
    <w:p w14:paraId="33555737">
      <w:pPr>
        <w:ind w:firstLine="0"/>
        <w:jc w:val="center"/>
      </w:pPr>
      <m:oMathPara>
        <m:oMath>
          <m:sSub>
            <m:sSubPr/>
            <m:e>
              <m:r>
                <m:rPr/>
                <m:t>ℒ</m:t>
              </m:r>
            </m:e>
            <m:sub>
              <m:r>
                <m:rPr>
                  <m:sty m:val="p"/>
                </m:rPr>
                <m:t>distill</m:t>
              </m:r>
            </m:sub>
          </m:sSub>
          <m:r>
            <m:rPr/>
            <m:t>=</m:t>
          </m:r>
          <m:f>
            <m:fPr/>
            <m:num>
              <m:nary>
                <m:naryPr>
                  <m:chr m:val="∑"/>
                  <m:grow m:val="1"/>
                  <m:limLoc m:val="subSup"/>
                  <m:supHide m:val="1"/>
                </m:naryPr>
                <m:sub>
                  <m:r>
                    <m:rPr/>
                    <m:t>b,t</m:t>
                  </m:r>
                </m:sub>
                <m:sup/>
                <m:e>
                  <m:sSub>
                    <m:sSubPr/>
                    <m:e>
                      <m:r>
                        <m:rPr/>
                        <m:t>m</m:t>
                      </m:r>
                    </m:e>
                    <m:sub>
                      <m:r>
                        <m:rPr/>
                        <m:t>b,t</m:t>
                      </m:r>
                    </m:sub>
                  </m:sSub>
                  <m:r>
                    <m:rPr/>
                    <m:t>D</m:t>
                  </m:r>
                  <m:d>
                    <m:dPr>
                      <m:sepChr m:val=","/>
                    </m:dPr>
                    <m:e>
                      <m:sSub>
                        <m:sSubPr/>
                        <m:e>
                          <m:r>
                            <m:rPr/>
                            <m:t>p</m:t>
                          </m:r>
                        </m:e>
                        <m:sub>
                          <m:r>
                            <m:rPr/>
                            <m:t>T</m:t>
                          </m:r>
                        </m:sub>
                      </m:sSub>
                      <m:d>
                        <m:dPr>
                          <m:sepChr m:val=","/>
                        </m:dPr>
                        <m:e>
                          <m:r>
                            <m:rPr/>
                            <m:t>·∣</m:t>
                          </m:r>
                          <m:sSub>
                            <m:sSubPr/>
                            <m:e>
                              <m:r>
                                <m:rPr/>
                                <m:t>x</m:t>
                              </m:r>
                            </m:e>
                            <m:sub>
                              <m:r>
                                <m:rPr/>
                                <m:t>b</m:t>
                              </m:r>
                            </m:sub>
                          </m:sSub>
                          <m:r>
                            <m:rPr/>
                            <m:t>,</m:t>
                          </m:r>
                          <m:sSub>
                            <m:sSubPr/>
                            <m:e>
                              <m:r>
                                <m:rPr/>
                                <m:t>y</m:t>
                              </m:r>
                            </m:e>
                            <m:sub>
                              <m:r>
                                <m:rPr/>
                                <m:t>b,&lt;t</m:t>
                              </m:r>
                            </m:sub>
                          </m:sSub>
                        </m:e>
                      </m:d>
                      <m:r>
                        <m:rPr/>
                        <m:t>∥</m:t>
                      </m:r>
                      <m:sSub>
                        <m:sSubPr/>
                        <m:e>
                          <m:r>
                            <m:rPr/>
                            <m:t>p</m:t>
                          </m:r>
                        </m:e>
                        <m:sub>
                          <m:r>
                            <m:rPr/>
                            <m:t>S</m:t>
                          </m:r>
                        </m:sub>
                      </m:sSub>
                      <m:d>
                        <m:dPr>
                          <m:sepChr m:val=","/>
                        </m:dPr>
                        <m:e>
                          <m:r>
                            <m:rPr/>
                            <m:t>·∣</m:t>
                          </m:r>
                          <m:sSub>
                            <m:sSubPr/>
                            <m:e>
                              <m:r>
                                <m:rPr/>
                                <m:t>x</m:t>
                              </m:r>
                            </m:e>
                            <m:sub>
                              <m:r>
                                <m:rPr/>
                                <m:t>b</m:t>
                              </m:r>
                            </m:sub>
                          </m:sSub>
                          <m:r>
                            <m:rPr/>
                            <m:t>,</m:t>
                          </m:r>
                          <m:sSub>
                            <m:sSubPr/>
                            <m:e>
                              <m:r>
                                <m:rPr/>
                                <m:t>y</m:t>
                              </m:r>
                            </m:e>
                            <m:sub>
                              <m:r>
                                <m:rPr/>
                                <m:t>b,&lt;t</m:t>
                              </m:r>
                            </m:sub>
                          </m:sSub>
                        </m:e>
                      </m:d>
                    </m:e>
                  </m:d>
                </m:e>
              </m:nary>
            </m:num>
            <m:den>
              <m:nary>
                <m:naryPr>
                  <m:chr m:val="∑"/>
                  <m:grow m:val="1"/>
                  <m:limLoc m:val="subSup"/>
                  <m:supHide m:val="1"/>
                </m:naryPr>
                <m:sub>
                  <m:r>
                    <m:rPr/>
                    <m:t>b,t</m:t>
                  </m:r>
                </m:sub>
                <m:sup/>
                <m:e>
                  <m:sSub>
                    <m:sSubPr/>
                    <m:e>
                      <m:r>
                        <m:rPr/>
                        <m:t>m</m:t>
                      </m:r>
                    </m:e>
                    <m:sub>
                      <m:r>
                        <m:rPr/>
                        <m:t>b,t</m:t>
                      </m:r>
                    </m:sub>
                  </m:sSub>
                  <m:r>
                    <m:rPr/>
                    <m:t>+ε</m:t>
                  </m:r>
                </m:e>
              </m:nary>
            </m:den>
          </m:f>
        </m:oMath>
      </m:oMathPara>
    </w:p>
    <w:p>
      <w:pPr>
        <w:ind w:firstLine="420"/>
        <w:jc w:val="both"/>
      </w:pPr>
      <w:r>
        <w:t>Top-K 方案先定义教师高概率支持集及其概率质量：</w:t>
      </w:r>
    </w:p>
    <w:p>
      <w:pPr>
        <w:ind w:firstLine="0"/>
        <w:jc w:val="center"/>
      </w:pPr>
      <m:oMathPara>
        <m:oMath>
          <m:sSubSup>
            <m:sSubSupPr/>
            <m:e>
              <m:r>
                <m:rPr/>
                <m:t>S</m:t>
              </m:r>
            </m:e>
            <m:sub>
              <m:r>
                <m:rPr/>
                <m:t>t</m:t>
              </m:r>
            </m:sub>
            <m:sup>
              <m:r>
                <m:rPr/>
                <m:t>(K)</m:t>
              </m:r>
            </m:sup>
          </m:sSubSup>
          <m:r>
            <m:rPr/>
            <m:t> = TopK</m:t>
          </m:r>
          <m:d>
            <m:dPr/>
            <m:e>
              <m:sSub>
                <m:sSubPr/>
                <m:e>
                  <m:r>
                    <m:rPr/>
                    <m:t>p</m:t>
                  </m:r>
                </m:e>
                <m:sub>
                  <m:r>
                    <m:rPr/>
                    <m:t>T,t</m:t>
                  </m:r>
                </m:sub>
              </m:sSub>
            </m:e>
          </m:d>
          <m:r>
            <m:rPr/>
            <m:t>,    </m:t>
          </m:r>
          <m:sSubSup>
            <m:sSubSupPr/>
            <m:e>
              <m:r>
                <m:rPr/>
                <m:t>Z</m:t>
              </m:r>
            </m:e>
            <m:sub>
              <m:r>
                <m:rPr/>
                <m:t>T,t</m:t>
              </m:r>
            </m:sub>
            <m:sup>
              <m:r>
                <m:rPr/>
                <m:t>(K)</m:t>
              </m:r>
            </m:sup>
          </m:sSubSup>
          <m:r>
            <m:rPr/>
            <m:t> = </m:t>
          </m:r>
          <m:sSub>
            <m:sSubPr/>
            <m:e>
              <m:r>
                <m:rPr/>
                <m:t>∑</m:t>
              </m:r>
            </m:e>
            <m:sub>
              <m:r>
                <m:rPr/>
                <m:t>v∈Sₜ⁽ᴷ⁾</m:t>
              </m:r>
            </m:sub>
          </m:sSub>
          <m:sSub>
            <m:sSubPr/>
            <m:e>
              <m:r>
                <m:rPr/>
                <m:t>p</m:t>
              </m:r>
            </m:e>
            <m:sub>
              <m:r>
                <m:rPr/>
                <m:t>T,t</m:t>
              </m:r>
            </m:sub>
          </m:sSub>
          <m:d>
            <m:dPr/>
            <m:e>
              <m:r>
                <m:rPr/>
                <m:t>v</m:t>
              </m:r>
            </m:e>
          </m:d>
        </m:oMath>
      </m:oMathPara>
    </w:p>
    <w:p>
      <w:pPr>
        <w:ind w:firstLine="420"/>
        <w:jc w:val="both"/>
      </w:pPr>
      <w:r>
        <w:t>在支持集内重归一化的教师分布为：</w:t>
      </w:r>
    </w:p>
    <w:p>
      <w:pPr>
        <w:ind w:firstLine="0"/>
        <w:jc w:val="center"/>
      </w:pPr>
      <m:oMathPara>
        <m:oMath>
          <m:sSubSup>
            <m:sSubSupPr/>
            <m:e>
              <m:r>
                <m:rPr/>
                <m:t>p̃</m:t>
              </m:r>
            </m:e>
            <m:sub>
              <m:r>
                <m:rPr/>
                <m:t>T,t</m:t>
              </m:r>
            </m:sub>
            <m:sup>
              <m:r>
                <m:rPr/>
                <m:t>(K)</m:t>
              </m:r>
            </m:sup>
          </m:sSubSup>
          <m:d>
            <m:dPr/>
            <m:e>
              <m:r>
                <m:rPr/>
                <m:t>v</m:t>
              </m:r>
            </m:e>
          </m:d>
          <m:r>
            <m:rPr/>
            <m:t> = </m:t>
          </m:r>
          <m:f>
            <m:fPr/>
            <m:num>
              <m:sSub>
                <m:sSubPr/>
                <m:e>
                  <m:r>
                    <m:rPr/>
                    <m:t>p</m:t>
                  </m:r>
                </m:e>
                <m:sub>
                  <m:r>
                    <m:rPr/>
                    <m:t>T,t</m:t>
                  </m:r>
                </m:sub>
              </m:sSub>
              <m:d>
                <m:dPr/>
                <m:e>
                  <m:r>
                    <m:rPr/>
                    <m:t>v</m:t>
                  </m:r>
                </m:e>
              </m:d>
            </m:num>
            <m:den>
              <m:sSubSup>
                <m:sSubSupPr/>
                <m:e>
                  <m:r>
                    <m:rPr/>
                    <m:t>Z</m:t>
                  </m:r>
                </m:e>
                <m:sub>
                  <m:r>
                    <m:rPr/>
                    <m:t>T,t</m:t>
                  </m:r>
                </m:sub>
                <m:sup>
                  <m:r>
                    <m:rPr/>
                    <m:t>(K)</m:t>
                  </m:r>
                </m:sup>
              </m:sSubSup>
            </m:den>
          </m:f>
          <m:r>
            <m:rPr/>
            <m:t>,   v ∈ </m:t>
          </m:r>
          <m:sSubSup>
            <m:sSubSupPr/>
            <m:e>
              <m:r>
                <m:rPr/>
                <m:t>S</m:t>
              </m:r>
            </m:e>
            <m:sub>
              <m:r>
                <m:rPr/>
                <m:t>t</m:t>
              </m:r>
            </m:sub>
            <m:sup>
              <m:r>
                <m:rPr/>
                <m:t>(K)</m:t>
              </m:r>
            </m:sup>
          </m:sSubSup>
        </m:oMath>
      </m:oMathPara>
    </w:p>
    <w:p>
      <w:pPr>
        <w:ind w:firstLine="420"/>
        <w:jc w:val="both"/>
      </w:pPr>
      <w:r>
        <w:t>K1 sampled-token 使用 proposal 分布采样一个 token。对教师分布下某函数的期望，其通用重要性采样估计写为：</w:t>
      </w:r>
    </w:p>
    <w:p>
      <w:pPr>
        <w:ind w:firstLine="0"/>
        <w:jc w:val="center"/>
      </w:pPr>
      <m:oMathPara>
        <m:oMath>
          <m:sSub>
            <m:sSubPr/>
            <m:e>
              <m:r>
                <m:rPr/>
                <m:t>v</m:t>
              </m:r>
            </m:e>
            <m:sub>
              <m:r>
                <m:rPr/>
                <m:t>t</m:t>
              </m:r>
            </m:sub>
          </m:sSub>
          <m:r>
            <m:rPr/>
            <m:t> ∼ </m:t>
          </m:r>
          <m:sSub>
            <m:sSubPr/>
            <m:e>
              <m:r>
                <m:rPr/>
                <m:t>q</m:t>
              </m:r>
            </m:e>
            <m:sub>
              <m:r>
                <m:rPr/>
                <m:t>t</m:t>
              </m:r>
            </m:sub>
          </m:sSub>
          <m:r>
            <m:rPr/>
            <m:t>,    </m:t>
          </m:r>
          <m:sSub>
            <m:sSubPr/>
            <m:e>
              <m:r>
                <m:rPr/>
                <m:t>Ê</m:t>
              </m:r>
            </m:e>
            <m:sub>
              <m:r>
                <m:rPr/>
                <m:t>pT,t</m:t>
              </m:r>
            </m:sub>
          </m:sSub>
          <m:d>
            <m:dPr/>
            <m:e>
              <m:r>
                <m:rPr/>
                <m:t>g(v)</m:t>
              </m:r>
            </m:e>
          </m:d>
          <m:r>
            <m:rPr/>
            <m:t> = </m:t>
          </m:r>
          <m:f>
            <m:fPr/>
            <m:num>
              <m:sSub>
                <m:sSubPr/>
                <m:e>
                  <m:r>
                    <m:rPr/>
                    <m:t>p</m:t>
                  </m:r>
                </m:e>
                <m:sub>
                  <m:r>
                    <m:rPr/>
                    <m:t>T,t</m:t>
                  </m:r>
                </m:sub>
              </m:sSub>
              <m:d>
                <m:dPr/>
                <m:e>
                  <m:sSub>
                    <m:sSubPr/>
                    <m:e>
                      <m:r>
                        <m:rPr/>
                        <m:t>v</m:t>
                      </m:r>
                    </m:e>
                    <m:sub>
                      <m:r>
                        <m:rPr/>
                        <m:t>t</m:t>
                      </m:r>
                    </m:sub>
                  </m:sSub>
                </m:e>
              </m:d>
            </m:num>
            <m:den>
              <m:sSub>
                <m:sSubPr/>
                <m:e>
                  <m:r>
                    <m:rPr/>
                    <m:t>q</m:t>
                  </m:r>
                </m:e>
                <m:sub>
                  <m:r>
                    <m:rPr/>
                    <m:t>t</m:t>
                  </m:r>
                </m:sub>
              </m:sSub>
              <m:d>
                <m:dPr/>
                <m:e>
                  <m:sSub>
                    <m:sSubPr/>
                    <m:e>
                      <m:r>
                        <m:rPr/>
                        <m:t>v</m:t>
                      </m:r>
                    </m:e>
                    <m:sub>
                      <m:r>
                        <m:rPr/>
                        <m:t>t</m:t>
                      </m:r>
                    </m:sub>
                  </m:sSub>
                </m:e>
              </m:d>
            </m:den>
          </m:f>
          <m:r>
            <m:rPr/>
            <m:t>g</m:t>
          </m:r>
          <m:d>
            <m:dPr/>
            <m:e>
              <m:sSub>
                <m:sSubPr/>
                <m:e>
                  <m:r>
                    <m:rPr/>
                    <m:t>v</m:t>
                  </m:r>
                </m:e>
                <m:sub>
                  <m:r>
                    <m:rPr/>
                    <m:t>t</m:t>
                  </m:r>
                </m:sub>
              </m:sSub>
            </m:e>
          </m:d>
        </m:oMath>
      </m:oMathPara>
    </w:p>
    <w:p>
      <w:pPr>
        <w:ind w:firstLine="420"/>
        <w:jc w:val="both"/>
      </w:pPr>
      <w:r>
        <w:t>该估计要求 proposal 分布覆盖教师非零支持集，并记录采样分布、概率比裁剪、随机种子和估计方差。Top-K 与 K1 不仅减少信息量，也可能改变优化目标或梯度噪声，因此必须与全词表方案使用相同的数据、rollout 条件和总训练预算。</w:t>
      </w:r>
    </w:p>
    <w:p>
      <w:pPr>
        <w:keepNext/>
        <w:spacing w:before="80" w:after="80" w:line="240" w:lineRule="auto"/>
        <w:ind w:left="0" w:right="0" w:firstLine="0"/>
        <w:jc w:val="center"/>
      </w:pPr>
      <w:r>
        <w:t>表 4-2 散度目标与监督信息粒度比较矩阵</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1761"/>
        <w:gridCol w:w="1730"/>
        <w:gridCol w:w="1604"/>
        <w:gridCol w:w="1369"/>
      </w:tblGrid>
      <w:tr w14:paraId="15E61120">
        <w:trPr>
          <w:tblHeader/>
          <w:jc w:val="center"/>
        </w:trPr>
        <w:tc>
          <w:tcPr>
            <w:tcW w:w="4148" w:type="dxa"/>
            <w:vAlign w:val="center"/>
          </w:tcPr>
          <w:p w14:paraId="0C984810">
            <w:pPr>
              <w:spacing w:before="0" w:after="0" w:line="240" w:lineRule="auto"/>
              <w:ind w:firstLine="0"/>
              <w:jc w:val="center"/>
            </w:pPr>
            <w:r>
              <w:rPr>
                <w:rFonts w:ascii="Times New Roman" w:hAnsi="Times New Roman" w:eastAsia="宋体"/>
                <w:b/>
                <w:sz w:val="19"/>
              </w:rPr>
              <w:t>监督信息粒度/估计方式</w:t>
            </w:r>
          </w:p>
        </w:tc>
        <w:tc>
          <w:tcPr>
            <w:tcW w:w="4148" w:type="dxa"/>
            <w:vAlign w:val="center"/>
          </w:tcPr>
          <w:p w14:paraId="6B2C1018">
            <w:pPr>
              <w:spacing w:before="0" w:after="0" w:line="240" w:lineRule="auto"/>
              <w:ind w:firstLine="0"/>
              <w:jc w:val="center"/>
            </w:pPr>
            <w:r>
              <w:rPr>
                <w:rFonts w:ascii="Times New Roman" w:hAnsi="Times New Roman" w:eastAsia="宋体"/>
                <w:b/>
                <w:sz w:val="19"/>
              </w:rPr>
              <w:t>Forward KL</w:t>
            </w:r>
          </w:p>
        </w:tc>
        <w:tc>
          <w:tcPr>
            <w:tcW w:w="4148" w:type="dxa"/>
            <w:vAlign w:val="center"/>
          </w:tcPr>
          <w:p w14:paraId="02EE87DF">
            <w:pPr>
              <w:spacing w:before="0" w:after="0" w:line="240" w:lineRule="auto"/>
              <w:ind w:firstLine="0"/>
              <w:jc w:val="center"/>
            </w:pPr>
            <w:r>
              <w:rPr>
                <w:rFonts w:ascii="Times New Roman" w:hAnsi="Times New Roman" w:eastAsia="宋体"/>
                <w:b/>
                <w:sz w:val="19"/>
              </w:rPr>
              <w:t>Reverse KL</w:t>
            </w:r>
          </w:p>
        </w:tc>
        <w:tc>
          <w:tcPr>
            <w:tcW w:w="4148" w:type="dxa"/>
            <w:vAlign w:val="center"/>
          </w:tcPr>
          <w:p w14:paraId="60B5A87E">
            <w:pPr>
              <w:spacing w:before="0" w:after="0" w:line="240" w:lineRule="auto"/>
              <w:ind w:firstLine="0"/>
              <w:jc w:val="center"/>
            </w:pPr>
            <w:r>
              <w:rPr>
                <w:rFonts w:ascii="Times New Roman" w:hAnsi="Times New Roman" w:eastAsia="宋体"/>
                <w:b/>
                <w:sz w:val="19"/>
              </w:rPr>
              <w:t>广义散度</w:t>
            </w:r>
          </w:p>
        </w:tc>
        <w:tc>
          <w:tcPr>
            <w:tcW w:w="4148" w:type="dxa"/>
            <w:vAlign w:val="center"/>
          </w:tcPr>
          <w:p w14:paraId="088DB88C">
            <w:pPr>
              <w:spacing w:before="0" w:after="0" w:line="240" w:lineRule="auto"/>
              <w:ind w:firstLine="0"/>
              <w:jc w:val="center"/>
            </w:pPr>
            <w:r>
              <w:rPr>
                <w:rFonts w:ascii="Times New Roman" w:hAnsi="Times New Roman" w:eastAsia="宋体"/>
                <w:b/>
                <w:sz w:val="19"/>
              </w:rPr>
              <w:t>说明</w:t>
            </w:r>
          </w:p>
        </w:tc>
      </w:tr>
      <w:tr w14:paraId="568DC1CB">
        <w:trPr>
          <w:jc w:val="center"/>
        </w:trPr>
        <w:tc>
          <w:tcPr>
            <w:tcW w:w="4148" w:type="dxa"/>
            <w:vAlign w:val="center"/>
          </w:tcPr>
          <w:p w14:paraId="24BA4DC4">
            <w:pPr>
              <w:spacing w:before="0" w:after="0" w:line="240" w:lineRule="auto"/>
              <w:ind w:firstLine="0"/>
              <w:jc w:val="center"/>
            </w:pPr>
            <w:r>
              <w:rPr>
                <w:rFonts w:ascii="Times New Roman" w:hAnsi="Times New Roman" w:eastAsia="宋体"/>
                <w:b w:val="0"/>
                <w:sz w:val="19"/>
              </w:rPr>
              <w:t>全词表</w:t>
            </w:r>
          </w:p>
        </w:tc>
        <w:tc>
          <w:tcPr>
            <w:tcW w:w="4148" w:type="dxa"/>
            <w:vAlign w:val="center"/>
          </w:tcPr>
          <w:p w14:paraId="1E409E4D">
            <w:pPr>
              <w:spacing w:before="0" w:after="0" w:line="240" w:lineRule="auto"/>
              <w:ind w:firstLine="0"/>
              <w:jc w:val="center"/>
            </w:pPr>
            <w:r>
              <w:rPr>
                <w:rFonts w:ascii="Times New Roman" w:hAnsi="Times New Roman" w:eastAsia="宋体"/>
                <w:b w:val="0"/>
                <w:sz w:val="19"/>
              </w:rPr>
              <w:t>全词表 FKL</w:t>
            </w:r>
          </w:p>
        </w:tc>
        <w:tc>
          <w:tcPr>
            <w:tcW w:w="4148" w:type="dxa"/>
            <w:vAlign w:val="center"/>
          </w:tcPr>
          <w:p w14:paraId="702B1700">
            <w:pPr>
              <w:spacing w:before="0" w:after="0" w:line="240" w:lineRule="auto"/>
              <w:ind w:firstLine="0"/>
              <w:jc w:val="center"/>
            </w:pPr>
            <w:r>
              <w:rPr>
                <w:rFonts w:ascii="Times New Roman" w:hAnsi="Times New Roman" w:eastAsia="宋体"/>
                <w:b w:val="0"/>
                <w:sz w:val="19"/>
              </w:rPr>
              <w:t>全词表 RKL</w:t>
            </w:r>
          </w:p>
        </w:tc>
        <w:tc>
          <w:tcPr>
            <w:tcW w:w="4148" w:type="dxa"/>
            <w:vAlign w:val="center"/>
          </w:tcPr>
          <w:p w14:paraId="169573F0">
            <w:pPr>
              <w:spacing w:before="0" w:after="0" w:line="240" w:lineRule="auto"/>
              <w:ind w:firstLine="0"/>
              <w:jc w:val="center"/>
            </w:pPr>
            <w:r>
              <w:rPr>
                <w:rFonts w:ascii="Times New Roman" w:hAnsi="Times New Roman" w:eastAsia="宋体"/>
                <w:b w:val="0"/>
                <w:sz w:val="19"/>
              </w:rPr>
              <w:t>全词表广义散度</w:t>
            </w:r>
          </w:p>
        </w:tc>
        <w:tc>
          <w:tcPr>
            <w:tcW w:w="4148" w:type="dxa"/>
            <w:vAlign w:val="center"/>
          </w:tcPr>
          <w:p w14:paraId="4AA4DF2E">
            <w:pPr>
              <w:spacing w:before="0" w:after="0" w:line="240" w:lineRule="auto"/>
              <w:ind w:firstLine="0"/>
              <w:jc w:val="center"/>
            </w:pPr>
            <w:r>
              <w:rPr>
                <w:rFonts w:ascii="Times New Roman" w:hAnsi="Times New Roman" w:eastAsia="宋体"/>
                <w:b w:val="0"/>
                <w:sz w:val="19"/>
              </w:rPr>
              <w:t>完整分布基线</w:t>
            </w:r>
          </w:p>
        </w:tc>
      </w:tr>
      <w:tr w14:paraId="17480239">
        <w:trPr>
          <w:jc w:val="center"/>
        </w:trPr>
        <w:tc>
          <w:tcPr>
            <w:tcW w:w="4148" w:type="dxa"/>
            <w:vAlign w:val="center"/>
          </w:tcPr>
          <w:p w14:paraId="4DBCBCCE">
            <w:pPr>
              <w:spacing w:before="0" w:after="0" w:line="240" w:lineRule="auto"/>
              <w:ind w:firstLine="0"/>
              <w:jc w:val="center"/>
            </w:pPr>
            <w:r>
              <w:rPr>
                <w:rFonts w:ascii="Times New Roman" w:hAnsi="Times New Roman" w:eastAsia="宋体"/>
                <w:b w:val="0"/>
                <w:sz w:val="19"/>
              </w:rPr>
              <w:t>Top-K</w:t>
            </w:r>
          </w:p>
        </w:tc>
        <w:tc>
          <w:tcPr>
            <w:tcW w:w="4148" w:type="dxa"/>
            <w:vAlign w:val="center"/>
          </w:tcPr>
          <w:p w14:paraId="4F4C009D">
            <w:pPr>
              <w:spacing w:before="0" w:after="0" w:line="240" w:lineRule="auto"/>
              <w:ind w:firstLine="0"/>
              <w:jc w:val="center"/>
            </w:pPr>
            <w:r>
              <w:rPr>
                <w:rFonts w:ascii="Times New Roman" w:hAnsi="Times New Roman" w:eastAsia="宋体"/>
                <w:b w:val="0"/>
                <w:sz w:val="19"/>
              </w:rPr>
              <w:t>Top-K FKL</w:t>
            </w:r>
          </w:p>
        </w:tc>
        <w:tc>
          <w:tcPr>
            <w:tcW w:w="4148" w:type="dxa"/>
            <w:vAlign w:val="center"/>
          </w:tcPr>
          <w:p w14:paraId="11D8717A">
            <w:pPr>
              <w:spacing w:before="0" w:after="0" w:line="240" w:lineRule="auto"/>
              <w:ind w:firstLine="0"/>
              <w:jc w:val="center"/>
            </w:pPr>
            <w:r>
              <w:rPr>
                <w:rFonts w:ascii="Times New Roman" w:hAnsi="Times New Roman" w:eastAsia="宋体"/>
                <w:b w:val="0"/>
                <w:sz w:val="19"/>
              </w:rPr>
              <w:t>Top-K RKL</w:t>
            </w:r>
          </w:p>
        </w:tc>
        <w:tc>
          <w:tcPr>
            <w:tcW w:w="4148" w:type="dxa"/>
            <w:vAlign w:val="center"/>
          </w:tcPr>
          <w:p w14:paraId="3A35555F">
            <w:pPr>
              <w:spacing w:before="0" w:after="0" w:line="240" w:lineRule="auto"/>
              <w:ind w:firstLine="0"/>
              <w:jc w:val="center"/>
            </w:pPr>
            <w:r>
              <w:rPr>
                <w:rFonts w:ascii="Times New Roman" w:hAnsi="Times New Roman" w:eastAsia="宋体"/>
                <w:b w:val="0"/>
                <w:sz w:val="19"/>
              </w:rPr>
              <w:t>Top-K 广义散度</w:t>
            </w:r>
          </w:p>
        </w:tc>
        <w:tc>
          <w:tcPr>
            <w:tcW w:w="4148" w:type="dxa"/>
            <w:vAlign w:val="center"/>
          </w:tcPr>
          <w:p w14:paraId="0A52DD0F">
            <w:pPr>
              <w:spacing w:before="0" w:after="0" w:line="240" w:lineRule="auto"/>
              <w:ind w:firstLine="0"/>
              <w:jc w:val="center"/>
            </w:pPr>
            <w:r>
              <w:rPr>
                <w:rFonts w:ascii="Times New Roman" w:hAnsi="Times New Roman" w:eastAsia="宋体"/>
                <w:b w:val="0"/>
                <w:sz w:val="19"/>
              </w:rPr>
              <w:t>稀疏支持集方案</w:t>
            </w:r>
          </w:p>
        </w:tc>
      </w:tr>
      <w:tr w14:paraId="5DED9877">
        <w:trPr>
          <w:jc w:val="center"/>
        </w:trPr>
        <w:tc>
          <w:tcPr>
            <w:tcW w:w="4148" w:type="dxa"/>
            <w:vAlign w:val="center"/>
          </w:tcPr>
          <w:p w14:paraId="03D05CC0">
            <w:pPr>
              <w:spacing w:before="0" w:after="0" w:line="240" w:lineRule="auto"/>
              <w:ind w:firstLine="0"/>
              <w:jc w:val="center"/>
            </w:pPr>
            <w:r>
              <w:rPr>
                <w:rFonts w:ascii="Times New Roman" w:hAnsi="Times New Roman" w:eastAsia="宋体"/>
                <w:b w:val="0"/>
                <w:sz w:val="19"/>
              </w:rPr>
              <w:t>K1 sampled-token</w:t>
            </w:r>
          </w:p>
        </w:tc>
        <w:tc>
          <w:tcPr>
            <w:tcW w:w="4148" w:type="dxa"/>
            <w:vAlign w:val="center"/>
          </w:tcPr>
          <w:p w14:paraId="340E34F9">
            <w:pPr>
              <w:spacing w:before="0" w:after="0" w:line="240" w:lineRule="auto"/>
              <w:ind w:firstLine="0"/>
              <w:jc w:val="center"/>
            </w:pPr>
            <w:r>
              <w:rPr>
                <w:rFonts w:ascii="Times New Roman" w:hAnsi="Times New Roman" w:eastAsia="宋体"/>
                <w:b w:val="0"/>
                <w:sz w:val="19"/>
              </w:rPr>
              <w:t>K1-FKL 估计</w:t>
            </w:r>
          </w:p>
        </w:tc>
        <w:tc>
          <w:tcPr>
            <w:tcW w:w="4148" w:type="dxa"/>
            <w:vAlign w:val="center"/>
          </w:tcPr>
          <w:p w14:paraId="4358821D">
            <w:pPr>
              <w:spacing w:before="0" w:after="0" w:line="240" w:lineRule="auto"/>
              <w:ind w:firstLine="0"/>
              <w:jc w:val="center"/>
            </w:pPr>
            <w:r>
              <w:rPr>
                <w:rFonts w:ascii="Times New Roman" w:hAnsi="Times New Roman" w:eastAsia="宋体"/>
                <w:b w:val="0"/>
                <w:sz w:val="19"/>
              </w:rPr>
              <w:t>K1-RKL 估计</w:t>
            </w:r>
          </w:p>
        </w:tc>
        <w:tc>
          <w:tcPr>
            <w:tcW w:w="4148" w:type="dxa"/>
            <w:vAlign w:val="center"/>
          </w:tcPr>
          <w:p w14:paraId="7212AE94">
            <w:pPr>
              <w:spacing w:before="0" w:after="0" w:line="240" w:lineRule="auto"/>
              <w:ind w:firstLine="0"/>
              <w:jc w:val="center"/>
            </w:pPr>
            <w:r>
              <w:rPr>
                <w:rFonts w:ascii="Times New Roman" w:hAnsi="Times New Roman" w:eastAsia="宋体"/>
                <w:b w:val="0"/>
                <w:sz w:val="19"/>
              </w:rPr>
              <w:t>K1 广义散度估计</w:t>
            </w:r>
          </w:p>
        </w:tc>
        <w:tc>
          <w:tcPr>
            <w:tcW w:w="4148" w:type="dxa"/>
            <w:vAlign w:val="center"/>
          </w:tcPr>
          <w:p w14:paraId="18867DC3">
            <w:pPr>
              <w:spacing w:before="0" w:after="0" w:line="240" w:lineRule="auto"/>
              <w:ind w:firstLine="0"/>
              <w:jc w:val="center"/>
            </w:pPr>
            <w:r>
              <w:rPr>
                <w:rFonts w:ascii="Times New Roman" w:hAnsi="Times New Roman" w:eastAsia="宋体"/>
                <w:b w:val="0"/>
                <w:sz w:val="19"/>
              </w:rPr>
              <w:t>单样本随机估计</w:t>
            </w:r>
          </w:p>
        </w:tc>
      </w:tr>
    </w:tbl>
    <w:p>
      <w:pPr>
        <w:ind w:firstLine="420"/>
        <w:jc w:val="both"/>
      </w:pPr>
      <w:r>
        <w:t>表 4-2 构成主要实验矩阵。每个组合都记录具体散度公式、K 值、支持集来源、重归一化方式、K1 proposal、mask、数值精度和梯度处理；正式训练前通过 tokenizer、模板回环、损失数值和梯度传播测试验证实现。</w:t>
      </w:r>
    </w:p>
    <w:p w14:paraId="264AD57D">
      <w:pPr>
        <w:pStyle w:val="3"/>
      </w:pPr>
      <w:bookmarkStart w:id="30" w:name="_Toc677812579"/>
      <w:r>
        <w:rPr>
          <w:rFonts w:ascii="黑体" w:hAnsi="黑体" w:eastAsia="黑体" w:cs="黑体"/>
          <w:b/>
          <w:color w:val="000000"/>
          <w:sz w:val="24"/>
        </w:rPr>
        <w:t>4.5 评价指标和公平性</w:t>
      </w:r>
      <w:bookmarkEnd w:id="30"/>
    </w:p>
    <w:p w14:paraId="1E75A657">
      <w:pPr>
        <w:ind w:firstLine="420"/>
        <w:jc w:val="both"/>
      </w:pPr>
      <w:r>
        <w:t>评价指标分为任务效果、训练稳定性、分布与误差分析、资源与部署四类，具体如下：</w:t>
      </w:r>
    </w:p>
    <w:p w14:paraId="40DFDBB5">
      <w:pPr>
        <w:keepNext/>
        <w:spacing w:before="80" w:after="80" w:line="240" w:lineRule="auto"/>
        <w:ind w:left="0" w:right="0" w:firstLine="0"/>
        <w:jc w:val="center"/>
      </w:pPr>
      <w:r>
        <w:t>表 4-3 评价指标体系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4BAA24E3">
        <w:trPr>
          <w:tblHeader/>
        </w:trPr>
        <w:tc>
          <w:tcPr>
            <w:tcW w:w="4148" w:type="dxa"/>
          </w:tcPr>
          <w:p w14:paraId="4A8E5867">
            <w:pPr>
              <w:ind w:firstLine="0"/>
              <w:jc w:val="left"/>
            </w:pPr>
            <w:r>
              <w:rPr>
                <w:b/>
              </w:rPr>
              <w:t>类别</w:t>
            </w:r>
          </w:p>
        </w:tc>
        <w:tc>
          <w:tcPr>
            <w:tcW w:w="4148" w:type="dxa"/>
          </w:tcPr>
          <w:p w14:paraId="16F921AE">
            <w:pPr>
              <w:ind w:firstLine="0"/>
              <w:jc w:val="left"/>
            </w:pPr>
            <w:r>
              <w:rPr>
                <w:b/>
              </w:rPr>
              <w:t>关注内容</w:t>
            </w:r>
          </w:p>
        </w:tc>
      </w:tr>
      <w:tr w14:paraId="31D6FC77">
        <w:tc>
          <w:tcPr>
            <w:tcW w:w="4148" w:type="dxa"/>
          </w:tcPr>
          <w:p w14:paraId="63B6EAB1">
            <w:pPr>
              <w:ind w:firstLine="0"/>
              <w:jc w:val="left"/>
            </w:pPr>
            <w:r>
              <w:t>核心任务效果</w:t>
            </w:r>
          </w:p>
        </w:tc>
        <w:tc>
          <w:tcPr>
            <w:tcW w:w="4148" w:type="dxa"/>
          </w:tcPr>
          <w:p w14:paraId="34B5B63E">
            <w:pPr>
              <w:ind w:firstLine="0"/>
              <w:jc w:val="left"/>
            </w:pPr>
            <w:r>
              <w:t>JSON／结构化格式合法性、函数名、参数键值、schema 通过率、调用执行成功率和端到端任务完成率</w:t>
            </w:r>
          </w:p>
        </w:tc>
      </w:tr>
      <w:tr w14:paraId="2CB808BD">
        <w:tc>
          <w:tcPr>
            <w:tcW w:w="4148" w:type="dxa"/>
          </w:tcPr>
          <w:p w14:paraId="3DAA5DB3">
            <w:pPr>
              <w:ind w:firstLine="0"/>
              <w:jc w:val="left"/>
            </w:pPr>
            <w:r>
              <w:t>核心稳定性与分布</w:t>
            </w:r>
          </w:p>
        </w:tc>
        <w:tc>
          <w:tcPr>
            <w:tcW w:w="4148" w:type="dxa"/>
          </w:tcPr>
          <w:p w14:paraId="57A77911">
            <w:pPr>
              <w:ind w:firstLine="0"/>
              <w:jc w:val="left"/>
            </w:pPr>
            <w:r>
              <w:t>蒸馏损失、熵变化、师生分布差异、Top-K overlap、支持集外概率、非法输出率和重复率</w:t>
            </w:r>
          </w:p>
        </w:tc>
      </w:tr>
      <w:tr w14:paraId="3B623E40">
        <w:tc>
          <w:tcPr>
            <w:tcW w:w="4148" w:type="dxa"/>
          </w:tcPr>
          <w:p w14:paraId="10FF9CC5">
            <w:pPr>
              <w:ind w:firstLine="0"/>
              <w:jc w:val="left"/>
            </w:pPr>
            <w:r>
              <w:t>核心训练资源</w:t>
            </w:r>
          </w:p>
        </w:tc>
        <w:tc>
          <w:tcPr>
            <w:tcW w:w="4148" w:type="dxa"/>
          </w:tcPr>
          <w:p w14:paraId="0E85455F">
            <w:pPr>
              <w:ind w:firstLine="0"/>
              <w:jc w:val="left"/>
            </w:pPr>
            <w:r>
              <w:t>教师反馈量、教师推理开销、学生 rollout 开销、训练时间和峰值显存</w:t>
            </w:r>
          </w:p>
        </w:tc>
      </w:tr>
      <w:tr w14:paraId="0EB55E25">
        <w:tc>
          <w:tcPr>
            <w:tcW w:w="4148" w:type="dxa"/>
          </w:tcPr>
          <w:p w14:paraId="5DA3D9BE">
            <w:pPr>
              <w:ind w:firstLine="0"/>
              <w:jc w:val="left"/>
            </w:pPr>
            <w:r>
              <w:t>扩展服务评测</w:t>
            </w:r>
          </w:p>
        </w:tc>
        <w:tc>
          <w:tcPr>
            <w:tcW w:w="4148" w:type="dxa"/>
          </w:tcPr>
          <w:p w14:paraId="557C7C13">
            <w:pPr>
              <w:ind w:firstLine="0"/>
              <w:jc w:val="left"/>
            </w:pPr>
            <w:r>
              <w:t>吞吐、首 token 延迟、完整响应延迟和端到端任务成功率</w:t>
            </w:r>
          </w:p>
        </w:tc>
      </w:tr>
    </w:tbl>
    <w:p w14:paraId="6FA4E227">
      <w:pPr>
        <w:ind w:firstLine="420"/>
        <w:jc w:val="both"/>
      </w:pPr>
      <w:r>
        <w:t>BFCL 为结构化函数调用评测提供了参考[21]。本文将用明确的指标定义评估函数选择、参数生成、schema 合法性、调用执行和任务完成情况；推理性能评测还将记录吞吐、首 token 延迟、完整响应延迟、峰值显存与端到端调用成功率。</w:t>
      </w:r>
    </w:p>
    <w:p w14:paraId="7C90D5F1">
      <w:pPr>
        <w:ind w:firstLine="420"/>
        <w:jc w:val="both"/>
      </w:pPr>
      <w:r>
        <w:t>具体而言，函数名准确率比较规范化后的函数标识；参数键准确率检查字段集合或字段级匹配；参数值准确率依据 schema 和任务允许的等价规则计算；schema 合法率检查类型、必填字段和枚举约束；执行成功率以模拟工具的返回结果为准；端到端成功率则判断模型是否在规定交互范围内完成目标。这些指标不能相互替代：JSON 可解析并不代表函数选择正确，函数和参数正确也不意味着模型能够正确利用工具结果。</w:t>
      </w:r>
    </w:p>
    <w:p w14:paraId="7A0844C1">
      <w:pPr>
        <w:ind w:firstLine="420"/>
        <w:jc w:val="both"/>
      </w:pPr>
      <w:r>
        <w:t>稳定性分析覆盖完整训练过程，记录损失、有效 token 数、师生熵、Top-K overlap、格式错误、支持集外概率、梯度范数和异常值。资源分析分别统计学生 rollout、教师前向和最终服务三个阶段，以区分蒸馏训练成本与部署性能。</w:t>
      </w:r>
    </w:p>
    <w:p w14:paraId="2CC9EDD0">
      <w:pPr>
        <w:ind w:firstLine="420"/>
        <w:jc w:val="both"/>
      </w:pPr>
      <w:r>
        <w:t>为保证比较公平，各实验固定学生、教师、公开数据、数据划分、LoRA 配置、训练预算、生成条件和评测脚本。所有实验均保存配置、代码提交号、模型与数据版本、依赖版本、硬件环境和原始指标；成本则同时按学生更新量、墙钟时间和教师调用开销报告。</w:t>
      </w:r>
    </w:p>
    <w:p w14:paraId="2386798F">
      <w:pPr>
        <w:ind w:firstLine="420"/>
        <w:jc w:val="both"/>
      </w:pPr>
      <w:r>
        <w:t>结果分析将报告完整训练曲线、验证集与测试集统计、重复运行的波动和资源消耗。失败案例按工具选择、结构解析、参数字段、参数值、上下文和执行环节分类，并比较不同散度及监督方案的错误分布。</w:t>
      </w:r>
    </w:p>
    <w:p w14:paraId="56ED6E07">
      <w:pPr>
        <w:pStyle w:val="3"/>
      </w:pPr>
      <w:bookmarkStart w:id="32" w:name="_Toc1742751565"/>
      <w:r>
        <w:rPr>
          <w:rFonts w:ascii="黑体" w:hAnsi="黑体" w:eastAsia="黑体" w:cs="黑体"/>
          <w:b/>
          <w:color w:val="000000"/>
          <w:sz w:val="24"/>
        </w:rPr>
        <w:t>4.6 可行性分析</w:t>
      </w:r>
      <w:bookmarkEnd w:id="32"/>
    </w:p>
    <w:p w14:paraId="40E26365">
      <w:pPr>
        <w:ind w:firstLine="420"/>
        <w:jc w:val="both"/>
      </w:pPr>
      <w:r>
        <w:t>Qwen3-0.6B 学生、Qwen3-4B 教师和 LoRA 后训练构成了可实施的模型组合，PyTorch、Transformers、PEFT 与 vLLM 能够提供训练和部署所需的基础工具[16]。研究将先进行小规模验证，在模型、数据、接口和评测规则固定后逐步扩大训练规模，因而具备清晰的实施路径和验证条件。</w:t>
      </w:r>
    </w:p>
    <w:p w14:paraId="6CC957E8">
      <w:pPr>
        <w:pStyle w:val="2"/>
      </w:pPr>
      <w:bookmarkStart w:id="33" w:name="_Toc896091522"/>
      <w:r>
        <w:rPr>
          <w:rFonts w:ascii="黑体" w:hAnsi="黑体" w:eastAsia="黑体" w:cs="黑体"/>
          <w:b/>
          <w:color w:val="000000"/>
          <w:sz w:val="28"/>
        </w:rPr>
        <w:t>5．进度安排，预期达到的目标</w:t>
      </w:r>
      <w:bookmarkEnd w:id="33"/>
    </w:p>
    <w:p w14:paraId="4D67942D">
      <w:pPr>
        <w:pStyle w:val="3"/>
      </w:pPr>
      <w:bookmarkStart w:id="34" w:name="_Toc307393843"/>
      <w:r>
        <w:rPr>
          <w:rFonts w:ascii="黑体" w:hAnsi="黑体" w:eastAsia="黑体" w:cs="黑体"/>
          <w:b/>
          <w:color w:val="000000"/>
          <w:sz w:val="24"/>
        </w:rPr>
        <w:t>5.1 进度安排</w:t>
      </w:r>
      <w:bookmarkEnd w:id="34"/>
    </w:p>
    <w:p w14:paraId="6BE2C5CE">
      <w:pPr>
        <w:spacing w:before="0" w:after="0" w:line="360" w:lineRule="auto"/>
        <w:ind w:firstLine="420"/>
        <w:jc w:val="both"/>
      </w:pPr>
      <w:r>
        <w:t>本课题自 2026 年 9 月开题申请起，至 2027 年 5 月结题申请与答辩结束，按实际培养环节组织实施。开题申请时间为 2026 年 9 月 14 日至 9 月 30 日，中期申请预计在 2027 年 3 月，结题申请与答辩预计在 2027 年 5 月。进度安排如图 4 和表 5-1 所示。</w:t>
      </w:r>
    </w:p>
    <w:p w14:paraId="2B480502">
      <w:pPr>
        <w:keepNext/>
        <w:spacing w:before="80" w:after="80" w:line="240" w:lineRule="auto"/>
        <w:ind w:left="0" w:right="0" w:firstLine="0"/>
        <w:jc w:val="center"/>
      </w:pPr>
      <w:r>
        <w:rPr>
          <w:rFonts w:ascii="Times New Roman" w:hAnsi="Times New Roman" w:eastAsia="Songti SC"/>
          <w:sz w:val="21"/>
        </w:rPr>
        <w:t xml:space="preserve">表 </w:t>
      </w:r>
      <w:bookmarkStart w:id="35" w:name="_RefTable5_1"/>
      <w:r>
        <w:rPr>
          <w:rFonts w:ascii="Times New Roman" w:hAnsi="Times New Roman" w:eastAsia="Songti SC"/>
          <w:sz w:val="21"/>
        </w:rPr>
        <w:t>5-</w:t>
      </w:r>
      <w:r>
        <w:rPr>
          <w:rFonts w:ascii="Times New Roman" w:hAnsi="Times New Roman" w:eastAsia="Songti SC"/>
          <w:sz w:val="21"/>
        </w:rPr>
        <w:fldChar w:fldCharType="begin"/>
      </w:r>
      <w:r>
        <w:rPr>
          <w:rFonts w:ascii="Times New Roman" w:hAnsi="Times New Roman" w:eastAsia="Songti SC"/>
          <w:sz w:val="21"/>
        </w:rPr>
        <w:instrText xml:space="preserve"> SEQ TableCh5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35"/>
      <w:r>
        <w:rPr>
          <w:rFonts w:ascii="Times New Roman" w:hAnsi="Times New Roman" w:eastAsia="Songti SC"/>
          <w:sz w:val="21"/>
        </w:rPr>
        <w:t xml:space="preserve">  研究进度安排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5"/>
        <w:gridCol w:w="2938"/>
        <w:gridCol w:w="2759"/>
      </w:tblGrid>
      <w:tr w14:paraId="63DBB9E9">
        <w:trPr>
          <w:tblHeader/>
          <w:jc w:val="center"/>
        </w:trPr>
        <w:tc>
          <w:tcPr>
            <w:tcW w:w="4148" w:type="dxa"/>
            <w:vAlign w:val="center"/>
          </w:tcPr>
          <w:p w14:paraId="1D9D80BF">
            <w:pPr>
              <w:spacing w:before="0" w:after="0" w:line="240" w:lineRule="auto"/>
              <w:ind w:firstLine="0"/>
              <w:jc w:val="center"/>
            </w:pPr>
            <w:r>
              <w:rPr>
                <w:rFonts w:ascii="Times New Roman" w:hAnsi="Times New Roman" w:eastAsia="宋体"/>
                <w:b/>
                <w:sz w:val="17"/>
              </w:rPr>
              <w:t>阶段</w:t>
            </w:r>
          </w:p>
        </w:tc>
        <w:tc>
          <w:tcPr>
            <w:tcW w:w="4148" w:type="dxa"/>
            <w:vAlign w:val="center"/>
          </w:tcPr>
          <w:p w14:paraId="30BF555A">
            <w:pPr>
              <w:spacing w:before="0" w:after="0" w:line="240" w:lineRule="auto"/>
              <w:ind w:firstLine="0"/>
              <w:jc w:val="center"/>
            </w:pPr>
            <w:r>
              <w:rPr>
                <w:rFonts w:ascii="Times New Roman" w:hAnsi="Times New Roman" w:eastAsia="宋体"/>
                <w:b/>
                <w:sz w:val="17"/>
              </w:rPr>
              <w:t>计划内容</w:t>
            </w:r>
          </w:p>
        </w:tc>
        <w:tc>
          <w:tcPr>
            <w:tcW w:w="4148" w:type="dxa"/>
            <w:vAlign w:val="center"/>
          </w:tcPr>
          <w:p w14:paraId="127EB996">
            <w:pPr>
              <w:spacing w:before="0" w:after="0" w:line="240" w:lineRule="auto"/>
              <w:ind w:firstLine="0"/>
              <w:jc w:val="center"/>
            </w:pPr>
            <w:r>
              <w:rPr>
                <w:rFonts w:ascii="Times New Roman" w:hAnsi="Times New Roman" w:eastAsia="宋体"/>
                <w:b/>
                <w:sz w:val="17"/>
              </w:rPr>
              <w:t>预期材料</w:t>
            </w:r>
          </w:p>
        </w:tc>
      </w:tr>
      <w:tr w14:paraId="31A682BC">
        <w:trPr>
          <w:jc w:val="center"/>
        </w:trPr>
        <w:tc>
          <w:tcPr>
            <w:tcW w:w="2765" w:type="dxa"/>
            <w:vAlign w:val="center"/>
          </w:tcPr>
          <w:p w14:paraId="6C50AB11">
            <w:pPr>
              <w:spacing w:before="0" w:after="0" w:line="240" w:lineRule="auto"/>
              <w:ind w:firstLine="0"/>
              <w:jc w:val="center"/>
            </w:pPr>
            <w:r>
              <w:rPr>
                <w:rFonts w:ascii="Times New Roman" w:hAnsi="Times New Roman" w:eastAsia="宋体"/>
                <w:b w:val="0"/>
                <w:sz w:val="17"/>
              </w:rPr>
              <w:t>2026年9月14日—9月30日：开题申请与方案确认</w:t>
            </w:r>
          </w:p>
        </w:tc>
        <w:tc>
          <w:tcPr>
            <w:tcW w:w="2765" w:type="dxa"/>
            <w:vAlign w:val="center"/>
          </w:tcPr>
          <w:p w14:paraId="4BFEE2CC">
            <w:pPr>
              <w:spacing w:before="0" w:after="0" w:line="240" w:lineRule="auto"/>
              <w:ind w:firstLine="0"/>
              <w:jc w:val="center"/>
            </w:pPr>
            <w:r>
              <w:rPr>
                <w:rFonts w:ascii="Times New Roman" w:hAnsi="Times New Roman" w:eastAsia="宋体"/>
                <w:b w:val="0"/>
                <w:sz w:val="17"/>
              </w:rPr>
              <w:t>完成开题报告修改与提交；明确研究问题、模型组合、数据范围、实验变量、评价指标和复现要求。</w:t>
            </w:r>
          </w:p>
        </w:tc>
        <w:tc>
          <w:tcPr>
            <w:tcW w:w="2765" w:type="dxa"/>
            <w:vAlign w:val="center"/>
          </w:tcPr>
          <w:p w14:paraId="66F2A173">
            <w:pPr>
              <w:spacing w:before="0" w:after="0" w:line="240" w:lineRule="auto"/>
              <w:ind w:firstLine="0"/>
              <w:jc w:val="center"/>
            </w:pPr>
            <w:r>
              <w:rPr>
                <w:rFonts w:ascii="Times New Roman" w:hAnsi="Times New Roman" w:eastAsia="宋体"/>
                <w:b w:val="0"/>
                <w:sz w:val="17"/>
              </w:rPr>
              <w:t>开题报告、研究方案、文献与任务清单</w:t>
            </w:r>
          </w:p>
        </w:tc>
      </w:tr>
      <w:tr w14:paraId="61DC8D82">
        <w:trPr>
          <w:jc w:val="center"/>
        </w:trPr>
        <w:tc>
          <w:tcPr>
            <w:tcW w:w="2765" w:type="dxa"/>
            <w:vAlign w:val="center"/>
          </w:tcPr>
          <w:p w14:paraId="5572DCE0">
            <w:pPr>
              <w:spacing w:before="0" w:after="0" w:line="240" w:lineRule="auto"/>
              <w:ind w:firstLine="0"/>
              <w:jc w:val="center"/>
            </w:pPr>
            <w:r>
              <w:rPr>
                <w:rFonts w:ascii="Times New Roman" w:hAnsi="Times New Roman" w:eastAsia="宋体"/>
                <w:b w:val="0"/>
                <w:sz w:val="17"/>
              </w:rPr>
              <w:t>2026年10月—11月：资料、数据与兼容性准备</w:t>
            </w:r>
          </w:p>
        </w:tc>
        <w:tc>
          <w:tcPr>
            <w:tcW w:w="2765" w:type="dxa"/>
            <w:vAlign w:val="center"/>
          </w:tcPr>
          <w:p w14:paraId="47213C2D">
            <w:pPr>
              <w:spacing w:before="0" w:after="0" w:line="240" w:lineRule="auto"/>
              <w:ind w:firstLine="0"/>
              <w:jc w:val="center"/>
            </w:pPr>
            <w:r>
              <w:rPr>
                <w:rFonts w:ascii="Times New Roman" w:hAnsi="Times New Roman" w:eastAsia="宋体"/>
                <w:b w:val="0"/>
                <w:sz w:val="17"/>
              </w:rPr>
              <w:t>继续调研文献；筛选公开 Function Calling 数据，完成去重、划分和字段映射；审计 tokenizer、消息模板、工具 schema、特殊 token 与模型版本。</w:t>
            </w:r>
          </w:p>
        </w:tc>
        <w:tc>
          <w:tcPr>
            <w:tcW w:w="2765" w:type="dxa"/>
            <w:vAlign w:val="center"/>
          </w:tcPr>
          <w:p w14:paraId="0E2E969C">
            <w:pPr>
              <w:spacing w:before="0" w:after="0" w:line="240" w:lineRule="auto"/>
              <w:ind w:firstLine="0"/>
              <w:jc w:val="center"/>
            </w:pPr>
            <w:r>
              <w:rPr>
                <w:rFonts w:ascii="Times New Roman" w:hAnsi="Times New Roman" w:eastAsia="宋体"/>
                <w:b w:val="0"/>
                <w:sz w:val="17"/>
              </w:rPr>
              <w:t>文献记录、数据清单、审计报告、统一数据格式</w:t>
            </w:r>
          </w:p>
        </w:tc>
      </w:tr>
      <w:tr w14:paraId="6B04A86C">
        <w:trPr>
          <w:jc w:val="center"/>
        </w:trPr>
        <w:tc>
          <w:tcPr>
            <w:tcW w:w="2765" w:type="dxa"/>
            <w:vAlign w:val="center"/>
          </w:tcPr>
          <w:p w14:paraId="3D3265E4">
            <w:pPr>
              <w:spacing w:before="0" w:after="0" w:line="240" w:lineRule="auto"/>
              <w:ind w:firstLine="0"/>
              <w:jc w:val="center"/>
            </w:pPr>
            <w:r>
              <w:rPr>
                <w:rFonts w:ascii="Times New Roman" w:hAnsi="Times New Roman" w:eastAsia="宋体"/>
                <w:b w:val="0"/>
                <w:sz w:val="17"/>
              </w:rPr>
              <w:t>2026年12月—2027年1月：训练与推理管线实现</w:t>
            </w:r>
          </w:p>
        </w:tc>
        <w:tc>
          <w:tcPr>
            <w:tcW w:w="2765" w:type="dxa"/>
            <w:vAlign w:val="center"/>
          </w:tcPr>
          <w:p w14:paraId="7B0979CD">
            <w:pPr>
              <w:spacing w:before="0" w:after="0" w:line="240" w:lineRule="auto"/>
              <w:ind w:firstLine="0"/>
              <w:jc w:val="center"/>
            </w:pPr>
            <w:r>
              <w:rPr>
                <w:rFonts w:ascii="Times New Roman" w:hAnsi="Times New Roman" w:eastAsia="宋体"/>
                <w:b w:val="0"/>
                <w:sz w:val="17"/>
              </w:rPr>
              <w:t>实现 LoRA 训练、学生 rollout、教师评分、全词表／Top-K／K1 接口和统一评测脚本；通过小规模试运行确定上下文长度、批量大小与数值精度。</w:t>
            </w:r>
          </w:p>
        </w:tc>
        <w:tc>
          <w:tcPr>
            <w:tcW w:w="2765" w:type="dxa"/>
            <w:vAlign w:val="center"/>
          </w:tcPr>
          <w:p w14:paraId="00703432">
            <w:pPr>
              <w:spacing w:before="0" w:after="0" w:line="240" w:lineRule="auto"/>
              <w:ind w:firstLine="0"/>
              <w:jc w:val="center"/>
            </w:pPr>
            <w:r>
              <w:rPr>
                <w:rFonts w:ascii="Times New Roman" w:hAnsi="Times New Roman" w:eastAsia="宋体"/>
                <w:b w:val="0"/>
                <w:sz w:val="17"/>
              </w:rPr>
              <w:t>可运行代码、接口测试、试运行记录与固定配置</w:t>
            </w:r>
          </w:p>
        </w:tc>
      </w:tr>
      <w:tr w14:paraId="134EE532">
        <w:trPr>
          <w:jc w:val="center"/>
        </w:trPr>
        <w:tc>
          <w:tcPr>
            <w:tcW w:w="2765" w:type="dxa"/>
            <w:vAlign w:val="center"/>
          </w:tcPr>
          <w:p w14:paraId="631AEB8B">
            <w:pPr>
              <w:spacing w:before="0" w:after="0" w:line="240" w:lineRule="auto"/>
              <w:ind w:firstLine="0"/>
              <w:jc w:val="center"/>
            </w:pPr>
            <w:r>
              <w:rPr>
                <w:rFonts w:ascii="Times New Roman" w:hAnsi="Times New Roman" w:eastAsia="宋体"/>
                <w:b w:val="0"/>
                <w:sz w:val="17"/>
              </w:rPr>
              <w:t>2027年2月—3月：正式实验与中期申请</w:t>
            </w:r>
          </w:p>
        </w:tc>
        <w:tc>
          <w:tcPr>
            <w:tcW w:w="2765" w:type="dxa"/>
            <w:vAlign w:val="center"/>
          </w:tcPr>
          <w:p w14:paraId="3E9DB321">
            <w:pPr>
              <w:spacing w:before="0" w:after="0" w:line="240" w:lineRule="auto"/>
              <w:ind w:firstLine="0"/>
              <w:jc w:val="center"/>
            </w:pPr>
            <w:r>
              <w:rPr>
                <w:rFonts w:ascii="Times New Roman" w:hAnsi="Times New Roman" w:eastAsia="宋体"/>
                <w:b w:val="0"/>
                <w:sz w:val="17"/>
              </w:rPr>
              <w:t>在统一数据、训练预算和生成协议下开展主要对照实验；形成阶段性结果和资源记录，并于 2027 年 3 月提交中期申请。</w:t>
            </w:r>
          </w:p>
        </w:tc>
        <w:tc>
          <w:tcPr>
            <w:tcW w:w="2765" w:type="dxa"/>
            <w:vAlign w:val="center"/>
          </w:tcPr>
          <w:p w14:paraId="3DAA4D48">
            <w:pPr>
              <w:spacing w:before="0" w:after="0" w:line="240" w:lineRule="auto"/>
              <w:ind w:firstLine="0"/>
              <w:jc w:val="center"/>
            </w:pPr>
            <w:r>
              <w:rPr>
                <w:rFonts w:ascii="Times New Roman" w:hAnsi="Times New Roman" w:eastAsia="宋体"/>
                <w:b w:val="0"/>
                <w:sz w:val="17"/>
              </w:rPr>
              <w:t>训练检查点、配置与日志、阶段性指标、中期材料</w:t>
            </w:r>
          </w:p>
        </w:tc>
      </w:tr>
      <w:tr w14:paraId="7D609C3A">
        <w:trPr>
          <w:jc w:val="center"/>
        </w:trPr>
        <w:tc>
          <w:tcPr>
            <w:tcW w:w="2765" w:type="dxa"/>
            <w:vAlign w:val="center"/>
          </w:tcPr>
          <w:p w14:paraId="2821F67D">
            <w:pPr>
              <w:spacing w:before="0" w:after="0" w:line="240" w:lineRule="auto"/>
              <w:ind w:firstLine="0"/>
              <w:jc w:val="center"/>
            </w:pPr>
            <w:r>
              <w:rPr>
                <w:rFonts w:ascii="Times New Roman" w:hAnsi="Times New Roman" w:eastAsia="宋体"/>
                <w:b w:val="0"/>
                <w:sz w:val="17"/>
              </w:rPr>
              <w:t>2027年3月—4月：补充实验、部署评测与统计分析</w:t>
            </w:r>
          </w:p>
        </w:tc>
        <w:tc>
          <w:tcPr>
            <w:tcW w:w="2765" w:type="dxa"/>
            <w:vAlign w:val="center"/>
          </w:tcPr>
          <w:p w14:paraId="462082D6">
            <w:pPr>
              <w:spacing w:before="0" w:after="0" w:line="240" w:lineRule="auto"/>
              <w:ind w:firstLine="0"/>
              <w:jc w:val="center"/>
            </w:pPr>
            <w:r>
              <w:rPr>
                <w:rFonts w:ascii="Times New Roman" w:hAnsi="Times New Roman" w:eastAsia="宋体"/>
                <w:b w:val="0"/>
                <w:sz w:val="17"/>
              </w:rPr>
              <w:t>完成主要组合、必要的重复实验与消融实验；搭建 Function Calling／Agent 测试环境，统计任务正确性、训练稳定性、显存、吞吐、延迟和训练耗时。</w:t>
            </w:r>
          </w:p>
        </w:tc>
        <w:tc>
          <w:tcPr>
            <w:tcW w:w="2765" w:type="dxa"/>
            <w:vAlign w:val="center"/>
          </w:tcPr>
          <w:p w14:paraId="240C3C05">
            <w:pPr>
              <w:spacing w:before="0" w:after="0" w:line="240" w:lineRule="auto"/>
              <w:ind w:firstLine="0"/>
              <w:jc w:val="center"/>
            </w:pPr>
            <w:r>
              <w:rPr>
                <w:rFonts w:ascii="Times New Roman" w:hAnsi="Times New Roman" w:eastAsia="宋体"/>
                <w:b w:val="0"/>
                <w:sz w:val="17"/>
              </w:rPr>
              <w:t>原始结果、统计表、误差分类、对比图与复现记录</w:t>
            </w:r>
          </w:p>
        </w:tc>
      </w:tr>
      <w:tr w14:paraId="00B1C773">
        <w:trPr>
          <w:jc w:val="center"/>
        </w:trPr>
        <w:tc>
          <w:tcPr>
            <w:tcW w:w="2765" w:type="dxa"/>
            <w:vAlign w:val="center"/>
          </w:tcPr>
          <w:p w14:paraId="26199C17">
            <w:pPr>
              <w:spacing w:before="0" w:after="0" w:line="240" w:lineRule="auto"/>
              <w:ind w:firstLine="0"/>
              <w:jc w:val="center"/>
            </w:pPr>
            <w:r>
              <w:rPr>
                <w:rFonts w:ascii="Times New Roman" w:hAnsi="Times New Roman" w:eastAsia="宋体"/>
                <w:b w:val="0"/>
                <w:sz w:val="17"/>
              </w:rPr>
              <w:t>2027年4月—5月：论文撰写、结题与答辩</w:t>
            </w:r>
          </w:p>
        </w:tc>
        <w:tc>
          <w:tcPr>
            <w:tcW w:w="2765" w:type="dxa"/>
            <w:vAlign w:val="center"/>
          </w:tcPr>
          <w:p w14:paraId="6C687A60">
            <w:pPr>
              <w:spacing w:before="0" w:after="0" w:line="240" w:lineRule="auto"/>
              <w:ind w:firstLine="0"/>
              <w:jc w:val="center"/>
            </w:pPr>
            <w:r>
              <w:rPr>
                <w:rFonts w:ascii="Times New Roman" w:hAnsi="Times New Roman" w:eastAsia="宋体"/>
                <w:b w:val="0"/>
                <w:sz w:val="17"/>
              </w:rPr>
              <w:t>完成结果分析、资源—性能权衡和失败案例讨论；整理复现材料，撰写并修改毕业论文；预计于 2027 年 5 月完成结题申请与答辩。</w:t>
            </w:r>
          </w:p>
        </w:tc>
        <w:tc>
          <w:tcPr>
            <w:tcW w:w="2765" w:type="dxa"/>
            <w:vAlign w:val="center"/>
          </w:tcPr>
          <w:p w14:paraId="5D013A9B">
            <w:pPr>
              <w:spacing w:before="0" w:after="0" w:line="240" w:lineRule="auto"/>
              <w:ind w:firstLine="0"/>
              <w:jc w:val="center"/>
            </w:pPr>
            <w:r>
              <w:rPr>
                <w:rFonts w:ascii="Times New Roman" w:hAnsi="Times New Roman" w:eastAsia="宋体"/>
                <w:b w:val="0"/>
                <w:sz w:val="17"/>
              </w:rPr>
              <w:t>论文定稿、复现说明、结题材料与答辩材料</w:t>
            </w:r>
          </w:p>
        </w:tc>
      </w:tr>
    </w:tbl>
    <w:p w14:paraId="5C44C5F3">
      <w:pPr>
        <w:spacing w:after="160"/>
        <w:ind w:firstLine="0"/>
        <w:jc w:val="center"/>
      </w:pPr>
      <w:r>
        <w:drawing>
          <wp:inline distT="0" distB="0" distL="114300" distR="114300">
            <wp:extent cx="5806440" cy="2879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06440" cy="2879994"/>
                    </a:xfrm>
                    <a:prstGeom prst="rect">
                      <a:avLst/>
                    </a:prstGeom>
                  </pic:spPr>
                </pic:pic>
              </a:graphicData>
            </a:graphic>
          </wp:inline>
        </w:drawing>
      </w:r>
    </w:p>
    <w:p w14:paraId="7EFD41D3">
      <w:pPr>
        <w:spacing w:before="0" w:after="120" w:line="240" w:lineRule="auto"/>
        <w:ind w:firstLine="0"/>
        <w:jc w:val="center"/>
      </w:pPr>
      <w:bookmarkStart w:id="36" w:name="_RefFigure3"/>
      <w:bookmarkEnd w:id="36"/>
      <w:r>
        <w:t>图 4 项目总体进度安排</w:t>
      </w:r>
    </w:p>
    <w:p w14:paraId="13935738">
      <w:pPr>
        <w:ind w:firstLine="420"/>
        <w:jc w:val="both"/>
      </w:pPr>
      <w:r>
        <w:t>整个研究周期为 2026 年 9 月至 2027 年 5 月。2026 年内重点完成开题、数据准备、兼容性审计和训练管线实现；2027 年 2 月起开展正式实验，并在 3 月中期申请前形成阶段性结果；随后完成补充实验、部署评测与统计分析，4—5 月集中完成论文、结题和答辩材料。</w:t>
      </w:r>
    </w:p>
    <w:p w14:paraId="2E4BC355">
      <w:pPr>
        <w:pStyle w:val="3"/>
      </w:pPr>
      <w:bookmarkStart w:id="37" w:name="_Toc1670148266"/>
      <w:r>
        <w:rPr>
          <w:rFonts w:ascii="黑体" w:hAnsi="黑体" w:eastAsia="黑体" w:cs="黑体"/>
          <w:b/>
          <w:color w:val="000000"/>
          <w:sz w:val="24"/>
        </w:rPr>
        <w:t>5.2 预期达到的目标</w:t>
      </w:r>
      <w:bookmarkEnd w:id="37"/>
    </w:p>
    <w:p w14:paraId="5C45F9E1">
      <w:pPr>
        <w:pStyle w:val="17"/>
        <w:ind w:firstLine="420"/>
        <w:jc w:val="left"/>
      </w:pPr>
      <w:r>
        <w:t>1. 建立以 Qwen3-0.6B 为学生、冻结的 Qwen3-4B 为教师的 LoRA 在线策略蒸馏流程。</w:t>
      </w:r>
      <w:bookmarkStart w:id="46" w:name="_GoBack"/>
      <w:bookmarkEnd w:id="46"/>
    </w:p>
    <w:p w14:paraId="661280AE">
      <w:pPr>
        <w:pStyle w:val="17"/>
        <w:ind w:firstLine="420"/>
        <w:jc w:val="left"/>
      </w:pPr>
      <w:r>
        <w:t>2. 在公开 Function Calling 数据上比较 Forward KL、Reverse KL、广义散度，以及全词表、Top-K 和 K1 sampled-token 三种监督方案。</w:t>
      </w:r>
    </w:p>
    <w:p w14:paraId="4D24F9B5">
      <w:pPr>
        <w:pStyle w:val="17"/>
        <w:ind w:firstLine="420"/>
        <w:jc w:val="left"/>
      </w:pPr>
      <w:r>
        <w:t>3. 建立分层评测方法，分别分析输出格式、函数选择、参数生成、调用执行和端到端任务完成情况。</w:t>
      </w:r>
    </w:p>
    <w:p w14:paraId="444409D5">
      <w:pPr>
        <w:pStyle w:val="17"/>
        <w:ind w:firstLine="420"/>
        <w:jc w:val="left"/>
      </w:pPr>
      <w:r>
        <w:t>4. 系统记录各方法的训练稳定性、教师反馈量、训练资源和部署表现。</w:t>
      </w:r>
    </w:p>
    <w:p w14:paraId="1F6068D2">
      <w:pPr>
        <w:pStyle w:val="17"/>
        <w:ind w:firstLine="420"/>
        <w:jc w:val="left"/>
      </w:pPr>
      <w:r>
        <w:t>5. 通过 vLLM 或自建测试程序验证最终模型，形成任务性能、训练成本和推理性能的对比结果。</w:t>
      </w:r>
    </w:p>
    <w:p w14:paraId="34BA0ABE">
      <w:pPr>
        <w:pStyle w:val="17"/>
        <w:ind w:firstLine="420"/>
        <w:jc w:val="left"/>
      </w:pPr>
      <w:r>
        <w:t>6. 完成项目文档、实验记录、毕业论文和答辩材料。</w:t>
      </w:r>
    </w:p>
    <w:p w14:paraId="11B7E0CE">
      <w:pPr>
        <w:ind w:firstLine="420"/>
        <w:jc w:val="both"/>
      </w:pPr>
      <w:r>
        <w:t>预期成果包括一套定义清晰、能够复现的 OPD 训练流程，一份公开数据与模型版本记录，一组能够解释方法差异的实验指标，以及一套可重复运行的最终测试流程。</w:t>
      </w:r>
    </w:p>
    <w:p w14:paraId="629A1AD4">
      <w:pPr>
        <w:pStyle w:val="2"/>
      </w:pPr>
      <w:bookmarkStart w:id="38" w:name="_Toc423156725"/>
      <w:r>
        <w:rPr>
          <w:rFonts w:ascii="黑体" w:hAnsi="黑体" w:eastAsia="黑体" w:cs="黑体"/>
          <w:b/>
          <w:color w:val="000000"/>
          <w:sz w:val="28"/>
        </w:rPr>
        <w:t>6．课题已具备和所需的条件、经费</w:t>
      </w:r>
      <w:bookmarkEnd w:id="38"/>
    </w:p>
    <w:p w14:paraId="15508BCB">
      <w:pPr>
        <w:pStyle w:val="3"/>
      </w:pPr>
      <w:bookmarkStart w:id="39" w:name="_Toc1676721858"/>
      <w:r>
        <w:rPr>
          <w:rFonts w:ascii="黑体" w:hAnsi="黑体" w:eastAsia="黑体" w:cs="黑体"/>
          <w:b/>
          <w:color w:val="000000"/>
          <w:sz w:val="24"/>
        </w:rPr>
        <w:t>6.1 已具备条件</w:t>
      </w:r>
      <w:bookmarkEnd w:id="39"/>
    </w:p>
    <w:p w14:paraId="27E56054">
      <w:pPr>
        <w:ind w:firstLine="420"/>
        <w:jc w:val="both"/>
      </w:pPr>
      <w:r>
        <w:t>目前已经明确研究方向、模型组合、LoRA 后训练路线和 Function Calling 应用场景，并完成相关文献与模型资料调研。PyTorch、Transformers、PEFT、Datasets 和 vLLM 等开源工具可支持后续的数据处理、模型训练与部署评测。</w:t>
      </w:r>
    </w:p>
    <w:p w14:paraId="649F9E8B">
      <w:pPr>
        <w:pStyle w:val="3"/>
      </w:pPr>
      <w:bookmarkStart w:id="40" w:name="_Toc1383851472"/>
      <w:r>
        <w:rPr>
          <w:rFonts w:ascii="黑体" w:hAnsi="黑体" w:eastAsia="黑体" w:cs="黑体"/>
          <w:b/>
          <w:color w:val="000000"/>
          <w:sz w:val="24"/>
        </w:rPr>
        <w:t>6.2 所需条件</w:t>
      </w:r>
      <w:bookmarkEnd w:id="40"/>
    </w:p>
    <w:p w14:paraId="246A73AD">
      <w:pPr>
        <w:ind w:firstLine="420"/>
        <w:jc w:val="both"/>
      </w:pPr>
      <w:r>
        <w:t>软件环境包括 Python、PyTorch、Transformers、PEFT、Datasets 和 vLLM；硬件需要支持 Qwen3-4B 教师推理、Qwen3-0.6B 学生 rollout 与 LoRA 更新。实验将依据可用显存设置序列长度、批量大小、梯度累积、混合精度和教师输出缓存。</w:t>
      </w:r>
    </w:p>
    <w:p w14:paraId="56F2417D">
      <w:pPr>
        <w:pStyle w:val="3"/>
      </w:pPr>
      <w:bookmarkStart w:id="41" w:name="_Toc1143792894"/>
      <w:r>
        <w:rPr>
          <w:rFonts w:ascii="黑体" w:hAnsi="黑体" w:eastAsia="黑体" w:cs="黑体"/>
          <w:b/>
          <w:color w:val="000000"/>
          <w:sz w:val="24"/>
        </w:rPr>
        <w:t>6.3 经费</w:t>
      </w:r>
      <w:bookmarkEnd w:id="41"/>
    </w:p>
    <w:p w14:paraId="31301070">
      <w:pPr>
        <w:spacing w:before="0" w:after="0" w:line="360" w:lineRule="auto"/>
        <w:ind w:firstLine="420"/>
        <w:jc w:val="both"/>
      </w:pPr>
      <w:r>
        <w:rPr>
          <w:rFonts w:ascii="Times New Roman" w:hAnsi="Times New Roman" w:eastAsia="宋体"/>
          <w:sz w:val="24"/>
        </w:rPr>
        <w:t>经费主要用于租赁 GPU 算力，支持 Qwen3-4B 教师在线评分、Qwen3-0.6B 学生 rollout、LoRA 训练，以及多组对照与必要的重复实验。预算按计划上限编制，实际支出将依据 GPU 实例类型、有效运行时长和存储用量据实结算。</w:t>
      </w:r>
    </w:p>
    <w:p w14:paraId="190CF806">
      <w:pPr>
        <w:spacing w:before="0" w:after="0" w:line="360" w:lineRule="auto"/>
        <w:ind w:firstLine="420"/>
        <w:jc w:val="both"/>
        <w:rPr>
          <w:rFonts w:ascii="Times New Roman" w:hAnsi="Times New Roman" w:eastAsia="宋体"/>
          <w:sz w:val="24"/>
        </w:rPr>
      </w:pPr>
      <w:r>
        <w:rPr>
          <w:rFonts w:ascii="Times New Roman" w:hAnsi="Times New Roman" w:eastAsia="宋体"/>
          <w:sz w:val="24"/>
        </w:rPr>
        <w:t>为避免无效支出，正式训练前先在小规模数据上完成 tokenizer、模板、schema 和损失实现审计。实验统一记录 GPU 型号、计费时长、失败重跑原因和有效训练时长，以便把资源消耗与性能收益对应起来。</w:t>
      </w:r>
    </w:p>
    <w:p w14:paraId="646AF9F9">
      <w:pPr>
        <w:keepNext/>
        <w:spacing w:before="80" w:after="80" w:line="240" w:lineRule="auto"/>
        <w:ind w:left="0" w:right="0" w:firstLine="0"/>
        <w:jc w:val="center"/>
      </w:pPr>
      <w:r>
        <w:rPr>
          <w:rFonts w:ascii="Times New Roman" w:hAnsi="Times New Roman" w:eastAsia="Songti SC"/>
          <w:sz w:val="21"/>
        </w:rPr>
        <w:t xml:space="preserve">表 </w:t>
      </w:r>
      <w:bookmarkStart w:id="42" w:name="_RefTable6_1"/>
      <w:r>
        <w:rPr>
          <w:rFonts w:ascii="Times New Roman" w:hAnsi="Times New Roman" w:eastAsia="Songti SC"/>
          <w:sz w:val="21"/>
        </w:rPr>
        <w:t>6-</w:t>
      </w:r>
      <w:r>
        <w:rPr>
          <w:rFonts w:ascii="Times New Roman" w:hAnsi="Times New Roman" w:eastAsia="Songti SC"/>
          <w:sz w:val="21"/>
        </w:rPr>
        <w:fldChar w:fldCharType="begin"/>
      </w:r>
      <w:r>
        <w:rPr>
          <w:rFonts w:ascii="Times New Roman" w:hAnsi="Times New Roman" w:eastAsia="Songti SC"/>
          <w:sz w:val="21"/>
        </w:rPr>
        <w:instrText xml:space="preserve"> SEQ TableCh6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42"/>
      <w:r>
        <w:rPr>
          <w:rFonts w:ascii="Times New Roman" w:hAnsi="Times New Roman" w:eastAsia="Songti SC"/>
          <w:sz w:val="21"/>
        </w:rPr>
        <w:t xml:space="preserve">  经费预算</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0C2DD1FB">
        <w:trPr>
          <w:jc w:val="center"/>
        </w:trPr>
        <w:tc>
          <w:tcPr>
            <w:tcW w:w="2076" w:type="dxa"/>
            <w:vAlign w:val="center"/>
          </w:tcPr>
          <w:p w14:paraId="3C121689">
            <w:pPr>
              <w:spacing w:before="0" w:after="0" w:line="240" w:lineRule="auto"/>
              <w:ind w:firstLine="0"/>
              <w:jc w:val="center"/>
            </w:pPr>
            <w:r>
              <w:rPr>
                <w:rFonts w:ascii="Times New Roman" w:hAnsi="Times New Roman" w:eastAsia="宋体"/>
                <w:b/>
                <w:sz w:val="17"/>
              </w:rPr>
              <w:t>经费项目</w:t>
            </w:r>
          </w:p>
        </w:tc>
        <w:tc>
          <w:tcPr>
            <w:tcW w:w="2076" w:type="dxa"/>
            <w:vAlign w:val="center"/>
          </w:tcPr>
          <w:p w14:paraId="504374F8">
            <w:pPr>
              <w:spacing w:before="0" w:after="0" w:line="240" w:lineRule="auto"/>
              <w:ind w:firstLine="0"/>
              <w:jc w:val="center"/>
            </w:pPr>
            <w:r>
              <w:rPr>
                <w:rFonts w:ascii="Times New Roman" w:hAnsi="Times New Roman" w:eastAsia="宋体"/>
                <w:b/>
                <w:sz w:val="17"/>
              </w:rPr>
              <w:t>预算金额（元）</w:t>
            </w:r>
          </w:p>
        </w:tc>
        <w:tc>
          <w:tcPr>
            <w:tcW w:w="2076" w:type="dxa"/>
            <w:vAlign w:val="center"/>
          </w:tcPr>
          <w:p w14:paraId="7EA34E55">
            <w:pPr>
              <w:spacing w:before="0" w:after="0" w:line="240" w:lineRule="auto"/>
              <w:ind w:firstLine="0"/>
              <w:jc w:val="center"/>
            </w:pPr>
            <w:r>
              <w:rPr>
                <w:rFonts w:ascii="Times New Roman" w:hAnsi="Times New Roman" w:eastAsia="宋体"/>
                <w:b/>
                <w:sz w:val="17"/>
              </w:rPr>
              <w:t>主要用途</w:t>
            </w:r>
          </w:p>
        </w:tc>
        <w:tc>
          <w:tcPr>
            <w:tcW w:w="2076" w:type="dxa"/>
            <w:vAlign w:val="center"/>
          </w:tcPr>
          <w:p w14:paraId="51138F93">
            <w:pPr>
              <w:spacing w:before="0" w:after="0" w:line="240" w:lineRule="auto"/>
              <w:ind w:firstLine="0"/>
              <w:jc w:val="center"/>
            </w:pPr>
            <w:r>
              <w:rPr>
                <w:rFonts w:ascii="Times New Roman" w:hAnsi="Times New Roman" w:eastAsia="宋体"/>
                <w:b/>
                <w:sz w:val="17"/>
              </w:rPr>
              <w:t>控制方式</w:t>
            </w:r>
          </w:p>
        </w:tc>
      </w:tr>
      <w:tr w14:paraId="4EE61648">
        <w:trPr>
          <w:jc w:val="center"/>
        </w:trPr>
        <w:tc>
          <w:tcPr>
            <w:tcW w:w="2076" w:type="dxa"/>
            <w:vAlign w:val="center"/>
          </w:tcPr>
          <w:p w14:paraId="749F58B2">
            <w:pPr>
              <w:spacing w:before="0" w:after="0" w:line="240" w:lineRule="auto"/>
              <w:ind w:firstLine="0"/>
              <w:jc w:val="center"/>
            </w:pPr>
            <w:r>
              <w:rPr>
                <w:rFonts w:ascii="Times New Roman" w:hAnsi="Times New Roman" w:eastAsia="宋体"/>
                <w:b w:val="0"/>
                <w:sz w:val="17"/>
              </w:rPr>
              <w:t>GPU 算力租赁</w:t>
            </w:r>
          </w:p>
        </w:tc>
        <w:tc>
          <w:tcPr>
            <w:tcW w:w="2076" w:type="dxa"/>
            <w:vAlign w:val="center"/>
          </w:tcPr>
          <w:p w14:paraId="4FE87205">
            <w:pPr>
              <w:spacing w:before="0" w:after="0" w:line="240" w:lineRule="auto"/>
              <w:ind w:firstLine="0"/>
              <w:jc w:val="center"/>
              <w:rPr>
                <w:rFonts w:hint="default" w:eastAsia="宋体"/>
                <w:lang w:val="en-US" w:eastAsia="zh-CN"/>
              </w:rPr>
            </w:pPr>
            <w:r>
              <w:rPr>
                <w:rFonts w:hint="eastAsia"/>
                <w:b w:val="0"/>
                <w:sz w:val="17"/>
                <w:lang w:eastAsia="zh-CN"/>
              </w:rPr>
              <w:t>～</w:t>
            </w:r>
            <w:r>
              <w:rPr>
                <w:rFonts w:hint="eastAsia"/>
                <w:b w:val="0"/>
                <w:sz w:val="17"/>
                <w:lang w:val="en-US" w:eastAsia="zh-CN"/>
              </w:rPr>
              <w:t>1000</w:t>
            </w:r>
          </w:p>
        </w:tc>
        <w:tc>
          <w:tcPr>
            <w:tcW w:w="2076" w:type="dxa"/>
            <w:vAlign w:val="center"/>
          </w:tcPr>
          <w:p w14:paraId="5D512F11">
            <w:pPr>
              <w:spacing w:before="0" w:after="0" w:line="240" w:lineRule="auto"/>
              <w:ind w:firstLine="0"/>
              <w:jc w:val="center"/>
              <w:rPr>
                <w:rFonts w:hint="default" w:eastAsia="宋体"/>
                <w:lang w:val="en-US" w:eastAsia="zh-CN"/>
              </w:rPr>
            </w:pPr>
            <w:r>
              <w:rPr>
                <w:rFonts w:ascii="Times New Roman" w:hAnsi="Times New Roman" w:eastAsia="宋体"/>
                <w:b w:val="0"/>
                <w:sz w:val="17"/>
              </w:rPr>
              <w:t>教师在线推理、学生 rollout、LoRA 训练、多组对照和必要的重复实验；计划使用 NVIDIA GeForce RTX 5090 32 GB</w:t>
            </w:r>
          </w:p>
        </w:tc>
        <w:tc>
          <w:tcPr>
            <w:tcW w:w="2076" w:type="dxa"/>
            <w:vAlign w:val="center"/>
          </w:tcPr>
          <w:p w14:paraId="0925485A">
            <w:pPr>
              <w:spacing w:before="0" w:after="0" w:line="240" w:lineRule="auto"/>
              <w:ind w:firstLine="0"/>
              <w:jc w:val="center"/>
              <w:rPr>
                <w:rFonts w:hint="default" w:eastAsia="宋体"/>
                <w:lang w:val="en-US" w:eastAsia="zh-CN"/>
              </w:rPr>
            </w:pPr>
            <w:r>
              <w:rPr>
                <w:rFonts w:ascii="Times New Roman" w:hAnsi="Times New Roman" w:eastAsia="宋体"/>
                <w:b w:val="0"/>
                <w:sz w:val="17"/>
              </w:rPr>
              <w:t>按小时计费，预计费率为 8 元／小时</w:t>
            </w:r>
          </w:p>
        </w:tc>
      </w:tr>
      <w:tr w14:paraId="525F4864">
        <w:trPr>
          <w:jc w:val="center"/>
        </w:trPr>
        <w:tc>
          <w:tcPr>
            <w:tcW w:w="2076" w:type="dxa"/>
            <w:vAlign w:val="center"/>
          </w:tcPr>
          <w:p w14:paraId="302DE3CF">
            <w:pPr>
              <w:spacing w:before="0" w:after="0" w:line="240" w:lineRule="auto"/>
              <w:ind w:firstLine="0"/>
              <w:jc w:val="center"/>
            </w:pPr>
            <w:r>
              <w:rPr>
                <w:rFonts w:ascii="Times New Roman" w:hAnsi="Times New Roman" w:eastAsia="宋体"/>
                <w:b w:val="0"/>
                <w:sz w:val="17"/>
              </w:rPr>
              <w:t>合计</w:t>
            </w:r>
          </w:p>
        </w:tc>
        <w:tc>
          <w:tcPr>
            <w:tcW w:w="2076" w:type="dxa"/>
            <w:vAlign w:val="center"/>
          </w:tcPr>
          <w:p w14:paraId="4A52070C">
            <w:pPr>
              <w:spacing w:before="0" w:after="0" w:line="240" w:lineRule="auto"/>
              <w:ind w:firstLine="0"/>
              <w:jc w:val="center"/>
              <w:rPr>
                <w:rFonts w:hint="default" w:eastAsia="宋体"/>
                <w:lang w:val="en-US" w:eastAsia="zh-CN"/>
              </w:rPr>
            </w:pPr>
            <w:r>
              <w:rPr>
                <w:rFonts w:hint="default"/>
                <w:b w:val="0"/>
                <w:sz w:val="17"/>
                <w:lang w:val="en-US" w:eastAsia="zh-CN"/>
              </w:rPr>
              <w:t>约 1000</w:t>
            </w:r>
          </w:p>
        </w:tc>
        <w:tc>
          <w:tcPr>
            <w:tcW w:w="2076" w:type="dxa"/>
            <w:vAlign w:val="center"/>
          </w:tcPr>
          <w:p w14:paraId="3475160D">
            <w:pPr>
              <w:spacing w:before="0" w:after="0" w:line="240" w:lineRule="auto"/>
              <w:ind w:firstLine="0"/>
              <w:jc w:val="center"/>
              <w:rPr>
                <w:rFonts w:hint="default" w:eastAsia="宋体"/>
                <w:lang w:val="en-US" w:eastAsia="zh-CN"/>
              </w:rPr>
            </w:pPr>
            <w:r>
              <w:rPr>
                <w:rFonts w:hint="default"/>
                <w:lang w:val="en-US" w:eastAsia="zh-CN"/>
              </w:rPr>
              <w:t>—</w:t>
            </w:r>
          </w:p>
        </w:tc>
        <w:tc>
          <w:tcPr>
            <w:tcW w:w="2076" w:type="dxa"/>
            <w:vAlign w:val="center"/>
          </w:tcPr>
          <w:p w14:paraId="4887EE35">
            <w:pPr>
              <w:spacing w:before="0" w:after="0" w:line="240" w:lineRule="auto"/>
              <w:ind w:firstLine="0"/>
              <w:jc w:val="center"/>
              <w:rPr>
                <w:rFonts w:hint="default" w:eastAsia="宋体"/>
                <w:lang w:val="en-US" w:eastAsia="zh-CN"/>
              </w:rPr>
            </w:pPr>
            <w:r>
              <w:rPr>
                <w:rFonts w:hint="default"/>
                <w:lang w:val="en-US" w:eastAsia="zh-CN"/>
              </w:rPr>
              <w:t>—</w:t>
            </w:r>
          </w:p>
        </w:tc>
      </w:tr>
    </w:tbl>
    <w:p w14:paraId="15A9EA17">
      <w:pPr>
        <w:pStyle w:val="2"/>
        <w:pageBreakBefore/>
      </w:pPr>
      <w:bookmarkStart w:id="43" w:name="_Toc1601045161"/>
      <w:r>
        <w:rPr>
          <w:rFonts w:ascii="黑体" w:hAnsi="黑体" w:eastAsia="黑体" w:cs="黑体"/>
          <w:b/>
          <w:color w:val="000000"/>
          <w:sz w:val="28"/>
        </w:rPr>
        <w:t>7．研究过程中可能遇到的困难和问题，解决的措施</w:t>
      </w:r>
      <w:bookmarkEnd w:id="43"/>
    </w:p>
    <w:p w14:paraId="2A5C30F9">
      <w:pPr>
        <w:ind w:firstLine="420"/>
        <w:jc w:val="both"/>
      </w:pPr>
      <w:r>
        <w:t>研究中可能遇到的问题主要集中在数据与接口、蒸馏估计、训练资源和部署评测四个方面，相应措施如下：</w:t>
      </w:r>
    </w:p>
    <w:p w14:paraId="21DF0A10">
      <w:pPr>
        <w:keepNext/>
        <w:spacing w:before="80" w:after="80" w:line="240" w:lineRule="auto"/>
        <w:ind w:left="0" w:right="0" w:firstLine="0"/>
        <w:jc w:val="center"/>
      </w:pPr>
      <w:r>
        <w:rPr>
          <w:rFonts w:ascii="Times New Roman" w:hAnsi="Times New Roman" w:eastAsia="Songti SC"/>
          <w:sz w:val="21"/>
        </w:rPr>
        <w:t xml:space="preserve">表 </w:t>
      </w:r>
      <w:bookmarkStart w:id="44" w:name="_RefTable7_1"/>
      <w:r>
        <w:rPr>
          <w:rFonts w:ascii="Times New Roman" w:hAnsi="Times New Roman" w:eastAsia="Songti SC"/>
          <w:sz w:val="21"/>
        </w:rPr>
        <w:t>7-</w:t>
      </w:r>
      <w:r>
        <w:rPr>
          <w:rFonts w:ascii="Times New Roman" w:hAnsi="Times New Roman" w:eastAsia="Songti SC"/>
          <w:sz w:val="21"/>
        </w:rPr>
        <w:fldChar w:fldCharType="begin"/>
      </w:r>
      <w:r>
        <w:rPr>
          <w:rFonts w:ascii="Times New Roman" w:hAnsi="Times New Roman" w:eastAsia="Songti SC"/>
          <w:sz w:val="21"/>
        </w:rPr>
        <w:instrText xml:space="preserve"> SEQ TableCh7 \* ARABIC </w:instrText>
      </w:r>
      <w:r>
        <w:rPr>
          <w:rFonts w:ascii="Times New Roman" w:hAnsi="Times New Roman" w:eastAsia="Songti SC"/>
          <w:sz w:val="21"/>
        </w:rPr>
        <w:fldChar w:fldCharType="separate"/>
      </w:r>
      <w:r>
        <w:rPr>
          <w:rFonts w:ascii="Times New Roman" w:hAnsi="Times New Roman" w:eastAsia="Songti SC"/>
          <w:sz w:val="21"/>
        </w:rPr>
        <w:t>1</w:t>
      </w:r>
      <w:r>
        <w:rPr>
          <w:rFonts w:ascii="Times New Roman" w:hAnsi="Times New Roman" w:eastAsia="Songti SC"/>
          <w:sz w:val="21"/>
        </w:rPr>
        <w:fldChar w:fldCharType="end"/>
      </w:r>
      <w:bookmarkEnd w:id="44"/>
      <w:r>
        <w:rPr>
          <w:rFonts w:ascii="Times New Roman" w:hAnsi="Times New Roman" w:eastAsia="Songti SC"/>
          <w:sz w:val="21"/>
        </w:rPr>
        <w:t xml:space="preserve">  研究困难及解决措施</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5D113B3">
        <w:trPr>
          <w:tblHeader/>
        </w:trPr>
        <w:tc>
          <w:tcPr>
            <w:tcW w:w="4148" w:type="dxa"/>
          </w:tcPr>
          <w:p w14:paraId="4D407EE9">
            <w:pPr>
              <w:ind w:firstLine="0"/>
              <w:jc w:val="left"/>
            </w:pPr>
            <w:r>
              <w:rPr>
                <w:b/>
              </w:rPr>
              <w:t>可能遇到的困难和问题</w:t>
            </w:r>
          </w:p>
        </w:tc>
        <w:tc>
          <w:tcPr>
            <w:tcW w:w="4148" w:type="dxa"/>
          </w:tcPr>
          <w:p w14:paraId="1E1D7A71">
            <w:pPr>
              <w:ind w:firstLine="0"/>
              <w:jc w:val="left"/>
            </w:pPr>
            <w:r>
              <w:t>解决措施</w:t>
            </w:r>
          </w:p>
        </w:tc>
      </w:tr>
      <w:tr w14:paraId="1085C875">
        <w:tc>
          <w:tcPr>
            <w:tcW w:w="4148" w:type="dxa"/>
          </w:tcPr>
          <w:p w14:paraId="46825A20">
            <w:pPr>
              <w:ind w:firstLine="0"/>
              <w:jc w:val="left"/>
            </w:pPr>
            <w:r>
              <w:t>师生 tokenizer、模板或特殊 token 不兼容</w:t>
            </w:r>
          </w:p>
        </w:tc>
        <w:tc>
          <w:tcPr>
            <w:tcW w:w="4148" w:type="dxa"/>
          </w:tcPr>
          <w:p w14:paraId="1363BBD0">
            <w:pPr>
              <w:ind w:firstLine="0"/>
              <w:jc w:val="left"/>
            </w:pPr>
            <w:r>
              <w:t>训练前审计并记录版本，通过对齐测试统一蒸馏输入。</w:t>
            </w:r>
          </w:p>
        </w:tc>
      </w:tr>
      <w:tr w14:paraId="134BDAAD">
        <w:tc>
          <w:tcPr>
            <w:tcW w:w="4148" w:type="dxa"/>
          </w:tcPr>
          <w:p w14:paraId="269B361C">
            <w:pPr>
              <w:ind w:firstLine="0"/>
              <w:jc w:val="left"/>
            </w:pPr>
            <w:r>
              <w:t>教师全词表反馈开销过高</w:t>
            </w:r>
          </w:p>
        </w:tc>
        <w:tc>
          <w:tcPr>
            <w:tcW w:w="4148" w:type="dxa"/>
          </w:tcPr>
          <w:p w14:paraId="60A7D942">
            <w:pPr>
              <w:ind w:firstLine="0"/>
              <w:jc w:val="left"/>
            </w:pPr>
            <w:r>
              <w:t>比较全词表、Top-K 和 K1 的反馈量，并采用分块计算、缓存与梯度累积控制资源开销。</w:t>
            </w:r>
          </w:p>
        </w:tc>
      </w:tr>
      <w:tr w14:paraId="66668A77">
        <w:tc>
          <w:tcPr>
            <w:tcW w:w="4148" w:type="dxa"/>
          </w:tcPr>
          <w:p w14:paraId="56DC85CD">
            <w:pPr>
              <w:ind w:firstLine="0"/>
              <w:jc w:val="left"/>
            </w:pPr>
            <w:r>
              <w:t>Top-K/K1 估计不稳定</w:t>
            </w:r>
          </w:p>
        </w:tc>
        <w:tc>
          <w:tcPr>
            <w:tcW w:w="4148" w:type="dxa"/>
          </w:tcPr>
          <w:p w14:paraId="05CCDD09">
            <w:pPr>
              <w:ind w:firstLine="0"/>
              <w:jc w:val="left"/>
            </w:pPr>
            <w:r>
              <w:t>记录支持集外概率、熵和异常损失；在主方案稳定运行后，再评估额外的稳定化方法。</w:t>
            </w:r>
          </w:p>
        </w:tc>
      </w:tr>
      <w:tr w14:paraId="675E933A">
        <w:tc>
          <w:tcPr>
            <w:tcW w:w="4148" w:type="dxa"/>
          </w:tcPr>
          <w:p w14:paraId="650F6C3E">
            <w:pPr>
              <w:ind w:firstLine="0"/>
              <w:jc w:val="left"/>
            </w:pPr>
            <w:r>
              <w:t>离线 token 指标与端到端调用结果不一致</w:t>
            </w:r>
          </w:p>
        </w:tc>
        <w:tc>
          <w:tcPr>
            <w:tcW w:w="4148" w:type="dxa"/>
          </w:tcPr>
          <w:p w14:paraId="3BB1B133">
            <w:pPr>
              <w:ind w:firstLine="0"/>
              <w:jc w:val="left"/>
            </w:pPr>
            <w:r>
              <w:t>分层报告格式、函数、参数、执行和端到端任务指标，并保留失败轨迹。</w:t>
            </w:r>
          </w:p>
        </w:tc>
      </w:tr>
      <w:tr w14:paraId="664DFE22">
        <w:tc>
          <w:tcPr>
            <w:tcW w:w="4148" w:type="dxa"/>
          </w:tcPr>
          <w:p w14:paraId="2D772E21">
            <w:pPr>
              <w:ind w:firstLine="0"/>
              <w:jc w:val="left"/>
            </w:pPr>
            <w:r>
              <w:t>推理后端兼容性问题</w:t>
            </w:r>
          </w:p>
        </w:tc>
        <w:tc>
          <w:tcPr>
            <w:tcW w:w="4148" w:type="dxa"/>
          </w:tcPr>
          <w:p w14:paraId="0595ED00">
            <w:pPr>
              <w:ind w:firstLine="0"/>
              <w:jc w:val="left"/>
            </w:pPr>
            <w:r>
              <w:t>先完成最小推理验证，再固定 vLLM 或自建测试程序的版本、加载方式与测量参数。</w:t>
            </w:r>
          </w:p>
        </w:tc>
      </w:tr>
    </w:tbl>
    <w:p w14:paraId="7661A5B1">
      <w:pPr>
        <w:ind w:firstLine="420"/>
        <w:jc w:val="both"/>
      </w:pPr>
      <w:r>
        <w:t>实施时，先完成数据、模型、tokenizer 和消息模板审计，再通过短序列验证、小批量训练、梯度累积、混合精度、教师输出缓存和分块计算控制资源开销。全词表、Top-K 和 K1 使用统一的支持集、采样与 mask 协议，并保存异常 loss、非法结构和失败工具调用等可追溯样本。</w:t>
      </w:r>
    </w:p>
    <w:p w14:paraId="59D0F03A">
      <w:pPr>
        <w:ind w:firstLine="420"/>
        <w:jc w:val="both"/>
      </w:pPr>
      <w:r>
        <w:t>实验日志按数据与接口、蒸馏估计、训练资源和部署评测四类记录问题。评测结果分层报告格式解析、函数选择、参数生成、工具执行和端到端任务完成情况，以便分别分析算法效果、资源成本与系统性能。</w:t>
      </w:r>
    </w:p>
    <w:p w14:paraId="1E1D72DA">
      <w:pPr>
        <w:ind w:firstLine="420"/>
        <w:jc w:val="both"/>
      </w:pPr>
      <w:r>
        <w:t>完成主要比较后，将进一步考察 Top-K 支持集修复和损失截断方法，包括合并师生高概率集合、保留残余概率质量和裁剪极端概率比，用于分析截断监督的稳定性。</w:t>
      </w:r>
    </w:p>
    <w:p w14:paraId="0874BB6A">
      <w:pPr>
        <w:pStyle w:val="2"/>
      </w:pPr>
      <w:bookmarkStart w:id="45" w:name="_Toc795924017"/>
      <w:r>
        <w:rPr>
          <w:rFonts w:ascii="黑体" w:hAnsi="黑体" w:eastAsia="黑体" w:cs="黑体"/>
          <w:b/>
          <w:color w:val="000000"/>
          <w:sz w:val="28"/>
        </w:rPr>
        <w:t>8．主要参考文献</w:t>
      </w:r>
      <w:bookmarkEnd w:id="45"/>
    </w:p>
    <w:p>
      <w:pPr>
        <w:pStyle w:val="17"/>
        <w:ind w:firstLine="420"/>
        <w:jc w:val="left"/>
      </w:pPr>
      <w:r>
        <w:t>[1] Hinton G, Vinyals O, Dean J. Distilling the Knowledge in a Neural Network[EB/OL]. arXiv:1503.02531, 2015.</w:t>
      </w:r>
    </w:p>
    <w:p>
      <w:pPr>
        <w:pStyle w:val="17"/>
        <w:ind w:firstLine="420"/>
        <w:jc w:val="left"/>
      </w:pPr>
      <w:r>
        <w:t>[2] Kim Y, Rush A M. Sequence-Level Knowledge Distillation[C]//Proceedings of the 2016 Conference on Empirical Methods in Natural Language Processing. ACL, 2016: 1317-1327. DOI:10.18653/v1/D16-1139.</w:t>
      </w:r>
    </w:p>
    <w:p>
      <w:pPr>
        <w:pStyle w:val="17"/>
        <w:ind w:firstLine="420"/>
        <w:jc w:val="left"/>
      </w:pPr>
      <w:r>
        <w:t>[3] Ross S, Gordon G J, Bagnell J A. A Reduction of Imitation Learning and Structured Prediction to No-Regret Online Learning[C]//Proceedings of the Fourteenth International Conference on Artificial Intelligence and Statistics. PMLR, 2011, 15: 627-635.</w:t>
      </w:r>
    </w:p>
    <w:p>
      <w:pPr>
        <w:pStyle w:val="17"/>
        <w:ind w:firstLine="420"/>
        <w:jc w:val="left"/>
      </w:pPr>
      <w:r>
        <w:t>[4] Lin A, Wohlwend J, Chen H, et al. Autoregressive Knowledge Distillation through Imitation Learning[C]//Proceedings of the 2020 Conference on Empirical Methods in Natural Language Processing. ACL, 2020: 6121-6133. DOI:10.18653/v1/2020.emnlp-main.494.</w:t>
      </w:r>
    </w:p>
    <w:p>
      <w:pPr>
        <w:pStyle w:val="17"/>
        <w:ind w:firstLine="420"/>
        <w:jc w:val="left"/>
      </w:pPr>
      <w:r>
        <w:t>[5] Wen Y, Li Z, Du W, et al. f-Divergence Minimization for Sequence-Level Knowledge Distillation[C]//Proceedings of the 61st Annual Meeting of the Association for Computational Linguistics. ACL, 2023: 10817-10834. DOI:10.18653/v1/2023.acl-long.605.</w:t>
      </w:r>
    </w:p>
    <w:p>
      <w:pPr>
        <w:pStyle w:val="17"/>
        <w:ind w:firstLine="420"/>
        <w:jc w:val="left"/>
      </w:pPr>
      <w:r>
        <w:t>[6] Agarwal R, Vieillard N, Zhou Y, et al. On-Policy Distillation of Language Models: Learning from Self-Generated Mistakes[C]//International Conference on Learning Representations. 2024. arXiv:2306.13649.</w:t>
      </w:r>
    </w:p>
    <w:p>
      <w:pPr>
        <w:pStyle w:val="17"/>
        <w:ind w:firstLine="420"/>
        <w:jc w:val="left"/>
      </w:pPr>
      <w:r>
        <w:t>[7] Gu Y, Dong L, Wei F, et al. MiniLLM: Knowledge Distillation of Large Language Models[C]//International Conference on Learning Representations. 2024. arXiv:2306.08543.</w:t>
      </w:r>
    </w:p>
    <w:p>
      <w:pPr>
        <w:pStyle w:val="17"/>
        <w:ind w:firstLine="420"/>
        <w:jc w:val="left"/>
      </w:pPr>
      <w:r>
        <w:t>[8] Ko J, Kim S, Chen T, et al. DistiLLM: Towards Streamlined Distillation for Large Language Models[C]//Proceedings of the 41st International Conference on Machine Learning. PMLR, 2024, 235: 24872-24895.</w:t>
      </w:r>
    </w:p>
    <w:p>
      <w:pPr>
        <w:pStyle w:val="17"/>
        <w:ind w:firstLine="420"/>
        <w:jc w:val="left"/>
      </w:pPr>
      <w:r>
        <w:t>[9] Ko J, Chen T, Kim S, et al. DistiLLM-2: A Contrastive Approach Boosts the Distillation of LLMs[C]//Proceedings of the 42nd International Conference on Machine Learning. PMLR, 2025, 267: 31044-31062.</w:t>
      </w:r>
    </w:p>
    <w:p>
      <w:pPr>
        <w:pStyle w:val="17"/>
        <w:ind w:firstLine="420"/>
        <w:jc w:val="left"/>
      </w:pPr>
      <w:r>
        <w:t>[10] Li Y, Zuo Y, He B, et al. Rethinking On-Policy Distillation of Large Language Models: Phenomenology, Mechanism, and Recipe[EB/OL]. arXiv:2604.13016v2, 2026. DOI:10.48550/arXiv.2604.13016.</w:t>
      </w:r>
    </w:p>
    <w:p>
      <w:pPr>
        <w:pStyle w:val="17"/>
        <w:ind w:firstLine="420"/>
        <w:jc w:val="left"/>
      </w:pPr>
      <w:r>
        <w:t>[11] Zhu W, Xie R, Wang R, et al. Hybrid Policy Distillation for LLMs[C]//International Conference on Machine Learning. 2026. arXiv:2604.20244v2.</w:t>
      </w:r>
    </w:p>
    <w:p>
      <w:pPr>
        <w:pStyle w:val="17"/>
        <w:ind w:firstLine="420"/>
        <w:jc w:val="left"/>
      </w:pPr>
      <w:r>
        <w:t>[12] Qwen Team. Qwen3 Technical Report[EB/OL]. arXiv:2505.09388, 2025. DOI:10.48550/arXiv.2505.09388.</w:t>
      </w:r>
    </w:p>
    <w:p>
      <w:pPr>
        <w:pStyle w:val="17"/>
        <w:ind w:firstLine="420"/>
        <w:jc w:val="left"/>
      </w:pPr>
      <w:r>
        <w:t>[13] Kullback S, Leibler R A. On Information and Sufficiency[J]. The Annals of Mathematical Statistics, 1951, 22(1): 79-86. DOI:10.1214/aoms/1177729694.</w:t>
      </w:r>
    </w:p>
    <w:p>
      <w:pPr>
        <w:pStyle w:val="17"/>
        <w:ind w:firstLine="420"/>
        <w:jc w:val="left"/>
      </w:pPr>
      <w:r>
        <w:t>[14] Lin J. Divergence Measures Based on the Shannon Entropy[J]. IEEE Transactions on Information Theory, 1991, 37(1): 145-151.</w:t>
      </w:r>
    </w:p>
    <w:p>
      <w:pPr>
        <w:pStyle w:val="17"/>
        <w:ind w:firstLine="420"/>
        <w:jc w:val="left"/>
      </w:pPr>
      <w:r>
        <w:t>[15] Hu E J, Shen Y, Wallis P, et al. LoRA: Low-Rank Adaptation of Large Language Models[C]//International Conference on Learning Representations. 2022. arXiv:2106.09685.</w:t>
      </w:r>
    </w:p>
    <w:p>
      <w:pPr>
        <w:pStyle w:val="17"/>
        <w:ind w:firstLine="420"/>
        <w:jc w:val="left"/>
      </w:pPr>
      <w:r>
        <w:t>[16] Kwon W, Li Z, Zhuang S, et al. Efficient Memory Management for Large Language Model Serving with PagedAttention[C]//Proceedings of the 29th Symposium on Operating Systems Principles. ACM, 2023: 611-626. DOI:10.1145/3600006.3613165.</w:t>
      </w:r>
    </w:p>
    <w:p>
      <w:pPr>
        <w:pStyle w:val="17"/>
        <w:ind w:firstLine="420"/>
        <w:jc w:val="left"/>
      </w:pPr>
      <w:r>
        <w:t>[17] Yao S, Zhao J, Yu D, et al. ReAct: Synergizing Reasoning and Acting in Language Models[C]//International Conference on Learning Representations. 2023. arXiv:2210.03629.</w:t>
      </w:r>
    </w:p>
    <w:p>
      <w:pPr>
        <w:pStyle w:val="17"/>
        <w:ind w:firstLine="420"/>
        <w:jc w:val="left"/>
      </w:pPr>
      <w:r>
        <w:t>[18] Li M, Zhao Y, Yu B, et al. API-Bank: A Comprehensive Benchmark for Tool-Augmented LLMs[C]//Proceedings of the 2023 Conference on Empirical Methods in Natural Language Processing. ACL, 2023: 3102-3116. DOI:10.18653/v1/2023.emnlp-main.187.</w:t>
      </w:r>
    </w:p>
    <w:p>
      <w:pPr>
        <w:pStyle w:val="17"/>
        <w:ind w:firstLine="420"/>
        <w:jc w:val="left"/>
      </w:pPr>
      <w:r>
        <w:t>[19] Liu Z, Hoang T, Zhang J, et al. APIGen: Automated Pipeline for Generating Verifiable and Diverse Function-Calling Datasets[C]//Advances in Neural Information Processing Systems. 2024. DOI:10.52202/079017-1725.</w:t>
      </w:r>
    </w:p>
    <w:p>
      <w:pPr>
        <w:pStyle w:val="17"/>
        <w:ind w:firstLine="420"/>
        <w:jc w:val="left"/>
      </w:pPr>
      <w:r>
        <w:t>[20] Liu W, Huang X, Zeng X, et al. ToolACE: Winning the Points of LLM Function Calling[C]//International Conference on Learning Representations. 2025. arXiv:2409.00920.</w:t>
      </w:r>
    </w:p>
    <w:p>
      <w:pPr>
        <w:pStyle w:val="17"/>
        <w:ind w:firstLine="420"/>
        <w:jc w:val="left"/>
      </w:pPr>
      <w:r>
        <w:t>[21] Patil S G, Mao H, Yan F, et al. The Berkeley Function Calling Leaderboard (BFCL): From Tool Use to Agentic Evaluation of Large Language Models[C]//Proceedings of the 42nd International Conference on Machine Learning. PMLR, 2025, 267: 48371-48392.</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imesNewRomanPSMT">
    <w:panose1 w:val="02020503050405090304"/>
    <w:charset w:val="00"/>
    <w:family w:val="roman"/>
    <w:pitch w:val="default"/>
    <w:sig w:usb0="E0000AFF" w:usb1="0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Heiti SC">
    <w:panose1 w:val="02000000000000000000"/>
    <w:charset w:val="86"/>
    <w:family w:val="auto"/>
    <w:pitch w:val="default"/>
    <w:sig w:usb0="8000002F" w:usb1="0800004A" w:usb2="00000000" w:usb3="00000000" w:csb0="203E0000" w:csb1="00000000"/>
  </w:font>
  <w:font w:name="Songti SC">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C643C">
    <w:pPr>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 PAGE </w:instrText>
    </w:r>
    <w:r>
      <w:rPr>
        <w:rFonts w:ascii="Times New Roman" w:hAnsi="Times New Roman" w:eastAsia="Times New Roman"/>
        <w:b w:val="0"/>
        <w:sz w:val="21"/>
      </w:rPr>
      <w:fldChar w:fldCharType="separate"/>
    </w:r>
    <w:r>
      <w:rPr>
        <w:rFonts w:ascii="Times New Roman" w:hAnsi="Times New Roman" w:eastAsia="Times New Roman"/>
        <w:b w:val="0"/>
        <w:sz w:val="21"/>
      </w:rPr>
      <w:t>1</w:t>
    </w:r>
    <w:r>
      <w:rPr>
        <w:rFonts w:ascii="Times New Roman" w:hAnsi="Times New Roman" w:eastAsia="Times New Roman"/>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7C4D94"/>
    <w:multiLevelType w:val="multilevel"/>
    <w:tmpl w:val="1D7C4D9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C4"/>
    <w:rsid w:val="0002402A"/>
    <w:rsid w:val="00117620"/>
    <w:rsid w:val="001E5415"/>
    <w:rsid w:val="002C591E"/>
    <w:rsid w:val="00341B2C"/>
    <w:rsid w:val="003664A6"/>
    <w:rsid w:val="003A2072"/>
    <w:rsid w:val="004F07E7"/>
    <w:rsid w:val="004F5CCA"/>
    <w:rsid w:val="00737F6A"/>
    <w:rsid w:val="007C1F51"/>
    <w:rsid w:val="00866FFA"/>
    <w:rsid w:val="00871284"/>
    <w:rsid w:val="009800B0"/>
    <w:rsid w:val="00986FB1"/>
    <w:rsid w:val="00A847C4"/>
    <w:rsid w:val="00C914EC"/>
    <w:rsid w:val="00CA7789"/>
    <w:rsid w:val="00E816A5"/>
    <w:rsid w:val="00EB066F"/>
    <w:rsid w:val="00F04C38"/>
    <w:rsid w:val="00FD19E3"/>
    <w:rsid w:val="00FF6926"/>
    <w:rsid w:val="18FA7239"/>
    <w:rsid w:val="379AF903"/>
    <w:rsid w:val="37D6E10D"/>
    <w:rsid w:val="3DFA4833"/>
    <w:rsid w:val="5F7FB192"/>
    <w:rsid w:val="655A2287"/>
    <w:rsid w:val="673FE172"/>
    <w:rsid w:val="676F45A0"/>
    <w:rsid w:val="6E7DA8AD"/>
    <w:rsid w:val="6E8FB321"/>
    <w:rsid w:val="6EFBC10C"/>
    <w:rsid w:val="6FFF75D6"/>
    <w:rsid w:val="71BE9EA7"/>
    <w:rsid w:val="767FF00F"/>
    <w:rsid w:val="77AEF49C"/>
    <w:rsid w:val="9AE84B35"/>
    <w:rsid w:val="D77D16B1"/>
    <w:rsid w:val="D9FA0EC0"/>
    <w:rsid w:val="DA1EC6EC"/>
    <w:rsid w:val="E9E7C479"/>
    <w:rsid w:val="F3E35A1F"/>
    <w:rsid w:val="F77BC61A"/>
    <w:rsid w:val="F9FB7683"/>
    <w:rsid w:val="FEBB3654"/>
    <w:rsid w:val="FF7F5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rFonts w:ascii="黑体" w:hAnsi="黑体" w:eastAsia="黑体" w:cs="黑体"/>
      <w:bCs/>
      <w:color w:val="000000"/>
      <w:kern w:val="44"/>
      <w:sz w:val="28"/>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Cs/>
      <w:color w:val="000000"/>
      <w:sz w:val="24"/>
      <w:szCs w:val="32"/>
    </w:rPr>
  </w:style>
  <w:style w:type="paragraph" w:styleId="4">
    <w:name w:val="heading 3"/>
    <w:basedOn w:val="1"/>
    <w:next w:val="1"/>
    <w:link w:val="22"/>
    <w:unhideWhenUsed/>
    <w:qFormat/>
    <w:uiPriority w:val="9"/>
    <w:pPr>
      <w:keepNext/>
      <w:keepLines/>
      <w:spacing w:before="260" w:after="260" w:line="416" w:lineRule="auto"/>
      <w:outlineLvl w:val="2"/>
    </w:pPr>
    <w:rPr>
      <w:rFonts w:ascii="黑体" w:hAnsi="黑体" w:eastAsia="黑体" w:cs="黑体"/>
      <w:bCs/>
      <w:color w:val="000000"/>
      <w:sz w:val="24"/>
      <w:szCs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footer"/>
    <w:basedOn w:val="1"/>
    <w:link w:val="24"/>
    <w:unhideWhenUsed/>
    <w:uiPriority w:val="99"/>
    <w:pPr>
      <w:tabs>
        <w:tab w:val="center" w:pos="4153"/>
        <w:tab w:val="right" w:pos="8306"/>
      </w:tabs>
      <w:snapToGrid w:val="0"/>
      <w:spacing w:line="240" w:lineRule="auto"/>
      <w:jc w:val="left"/>
    </w:pPr>
    <w:rPr>
      <w:sz w:val="18"/>
      <w:szCs w:val="18"/>
    </w:rPr>
  </w:style>
  <w:style w:type="paragraph" w:styleId="6">
    <w:name w:val="header"/>
    <w:basedOn w:val="1"/>
    <w:link w:val="23"/>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paragraph" w:styleId="9">
    <w:name w:val="Normal (Web)"/>
    <w:basedOn w:val="1"/>
    <w:semiHidden/>
    <w:unhideWhenUsed/>
    <w:uiPriority w:val="99"/>
    <w:pPr>
      <w:widowControl/>
      <w:spacing w:before="100" w:beforeAutospacing="1" w:after="100" w:afterAutospacing="1"/>
      <w:jc w:val="left"/>
    </w:pPr>
    <w:rPr>
      <w:rFonts w:ascii="宋体" w:hAnsi="宋体" w:cs="宋体"/>
      <w:kern w:val="0"/>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样式 (中文) 黑体 小二 居中"/>
    <w:basedOn w:val="1"/>
    <w:uiPriority w:val="0"/>
    <w:pPr>
      <w:snapToGrid w:val="0"/>
      <w:spacing w:before="400" w:after="200" w:line="300" w:lineRule="auto"/>
      <w:jc w:val="center"/>
    </w:pPr>
    <w:rPr>
      <w:rFonts w:eastAsia="黑体" w:cs="宋体"/>
      <w:sz w:val="36"/>
      <w:szCs w:val="20"/>
    </w:rPr>
  </w:style>
  <w:style w:type="paragraph" w:customStyle="1" w:styleId="14">
    <w:name w:val="节"/>
    <w:basedOn w:val="1"/>
    <w:uiPriority w:val="0"/>
    <w:pPr>
      <w:snapToGrid w:val="0"/>
      <w:spacing w:beforeLines="50" w:afterLines="50" w:line="300" w:lineRule="auto"/>
    </w:pPr>
    <w:rPr>
      <w:rFonts w:eastAsia="黑体"/>
      <w:sz w:val="30"/>
    </w:rPr>
  </w:style>
  <w:style w:type="paragraph" w:customStyle="1" w:styleId="15">
    <w:name w:val="条"/>
    <w:basedOn w:val="1"/>
    <w:uiPriority w:val="0"/>
    <w:pPr>
      <w:snapToGrid w:val="0"/>
      <w:spacing w:beforeLines="50" w:afterLines="50" w:line="300" w:lineRule="auto"/>
    </w:pPr>
    <w:rPr>
      <w:rFonts w:eastAsia="黑体"/>
      <w:sz w:val="28"/>
    </w:rPr>
  </w:style>
  <w:style w:type="paragraph" w:customStyle="1" w:styleId="16">
    <w:name w:val="款"/>
    <w:basedOn w:val="1"/>
    <w:uiPriority w:val="0"/>
    <w:pPr>
      <w:snapToGrid w:val="0"/>
      <w:spacing w:line="300" w:lineRule="auto"/>
    </w:pPr>
    <w:rPr>
      <w:rFonts w:eastAsia="黑体"/>
    </w:rPr>
  </w:style>
  <w:style w:type="paragraph" w:styleId="17">
    <w:name w:val="List Paragraph"/>
    <w:basedOn w:val="1"/>
    <w:qFormat/>
    <w:uiPriority w:val="34"/>
    <w:pPr>
      <w:ind w:firstLine="420" w:firstLineChars="200"/>
    </w:pPr>
  </w:style>
  <w:style w:type="character" w:customStyle="1" w:styleId="18">
    <w:name w:val="fontstyle01"/>
    <w:basedOn w:val="12"/>
    <w:uiPriority w:val="0"/>
    <w:rPr>
      <w:rFonts w:hint="eastAsia" w:ascii="宋体" w:hAnsi="宋体" w:eastAsia="宋体"/>
      <w:color w:val="000000"/>
      <w:sz w:val="24"/>
      <w:szCs w:val="24"/>
    </w:rPr>
  </w:style>
  <w:style w:type="character" w:customStyle="1" w:styleId="19">
    <w:name w:val="fontstyle21"/>
    <w:basedOn w:val="12"/>
    <w:uiPriority w:val="0"/>
    <w:rPr>
      <w:rFonts w:hint="default" w:ascii="TimesNewRomanPSMT" w:hAnsi="TimesNewRomanPSMT"/>
      <w:color w:val="000000"/>
      <w:sz w:val="24"/>
      <w:szCs w:val="24"/>
    </w:rPr>
  </w:style>
  <w:style w:type="character" w:customStyle="1" w:styleId="20">
    <w:name w:val="标题 2 字符"/>
    <w:basedOn w:val="12"/>
    <w:link w:val="3"/>
    <w:uiPriority w:val="9"/>
    <w:rPr>
      <w:rFonts w:asciiTheme="majorHAnsi" w:hAnsiTheme="majorHAnsi" w:eastAsiaTheme="majorEastAsia" w:cstheme="majorBidi"/>
      <w:b/>
      <w:bCs/>
      <w:sz w:val="30"/>
      <w:szCs w:val="32"/>
    </w:rPr>
  </w:style>
  <w:style w:type="character" w:customStyle="1" w:styleId="21">
    <w:name w:val="标题 1 字符"/>
    <w:basedOn w:val="12"/>
    <w:link w:val="2"/>
    <w:uiPriority w:val="9"/>
    <w:rPr>
      <w:rFonts w:ascii="Times New Roman" w:hAnsi="Times New Roman" w:eastAsia="宋体" w:cs="Times New Roman"/>
      <w:b/>
      <w:bCs/>
      <w:kern w:val="44"/>
      <w:sz w:val="32"/>
      <w:szCs w:val="44"/>
    </w:rPr>
  </w:style>
  <w:style w:type="character" w:customStyle="1" w:styleId="22">
    <w:name w:val="标题 3 字符"/>
    <w:basedOn w:val="12"/>
    <w:link w:val="4"/>
    <w:uiPriority w:val="9"/>
    <w:rPr>
      <w:rFonts w:ascii="Times New Roman" w:hAnsi="Times New Roman" w:eastAsia="宋体" w:cs="Times New Roman"/>
      <w:b/>
      <w:bCs/>
      <w:sz w:val="28"/>
      <w:szCs w:val="32"/>
    </w:rPr>
  </w:style>
  <w:style w:type="character" w:customStyle="1" w:styleId="23">
    <w:name w:val="页眉 字符"/>
    <w:basedOn w:val="12"/>
    <w:link w:val="6"/>
    <w:uiPriority w:val="99"/>
    <w:rPr>
      <w:rFonts w:ascii="Times New Roman" w:hAnsi="Times New Roman" w:eastAsia="宋体" w:cs="Times New Roman"/>
      <w:sz w:val="18"/>
      <w:szCs w:val="18"/>
    </w:rPr>
  </w:style>
  <w:style w:type="character" w:customStyle="1" w:styleId="24">
    <w:name w:val="页脚 字符"/>
    <w:basedOn w:val="12"/>
    <w:link w:val="5"/>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3"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735</Words>
  <Characters>4192</Characters>
  <Lines>34</Lines>
  <Paragraphs>9</Paragraphs>
  <TotalTime>6</TotalTime>
  <ScaleCrop>false</ScaleCrop>
  <LinksUpToDate>false</LinksUpToDate>
  <CharactersWithSpaces>4918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2022-10-12T02:38:00Z</dcterms:created>
  <dc:creator>董 睿璞</dc:creator>
  <cp:lastModifiedBy>Dr.Oppenheimer</cp:lastModifiedBy>
  <dcterms:modified xsi:type="dcterms:W3CDTF">2026-09-23T22:26:43Z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0A57C0DBE9B026AC4C0EB16A35E8C83E_42</vt:lpwstr>
  </property>
</Properties>
</file>