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17</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20</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21</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21</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稀疏监督下的散度目标与尾部质量</w:t>
      </w:r>
      <w:r>
        <w:tab/>
      </w:r>
      <w:r>
        <w:fldChar w:fldCharType="begin"/>
      </w:r>
      <w:r>
        <w:instrText xml:space="preserve"> PAGEREF _Toc712366958 \h </w:instrText>
      </w:r>
      <w:r>
        <w:fldChar w:fldCharType="separate"/>
      </w:r>
      <w:r>
        <w:t>23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监督粒度选择与资源效率</w:t>
      </w:r>
      <w:r>
        <w:tab/>
      </w:r>
      <w:r>
        <w:fldChar w:fldCharType="begin"/>
      </w:r>
      <w:r>
        <w:instrText xml:space="preserve"> PAGEREF _Toc530131081 \h </w:instrText>
      </w:r>
      <w:r>
        <w:fldChar w:fldCharType="separate"/>
      </w:r>
      <w:r>
        <w:t>25</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rPr>
          <w:rFonts w:hint="eastAsia" w:ascii="黑体" w:hAnsi="黑体" w:eastAsia="黑体" w:cs="黑体"/>
          <w:lang w:val="en-US" w:eastAsia="zh-CN"/>
        </w:rPr>
        <w:t/>
      </w:r>
      <w:r>
        <w:tab/>
      </w:r>
      <w:r>
        <w:fldChar w:fldCharType="begin"/>
      </w:r>
      <w:r>
        <w:instrText xml:space="preserve"> PAGEREF _Toc3426964 \h </w:instrText>
      </w:r>
      <w:r>
        <w:fldChar w:fldCharType="separate"/>
      </w:r>
      <w:r>
        <w:t>26</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29</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散度基线与稀疏反馈目标的定义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38</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41</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45</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45</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46</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47</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49</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 xml:space="preserve">最后，Top-K 的压缩收益伴随明确的目标变化。已有研究发现，仅缓存高概率 token 会造成分布估计偏差[30]；在策略蒸馏的子集归一化目标会忽略尾部总概率，并可能推高学生尾部概率[31]。工具调用场景还存在另一种风险：高教师质量覆盖率仍可能遗漏决定工具入口的修正 token[33]。尾部总量与关键坐标需要分别测量，现有数学推导和其他任务的实验结果尚不足以替代本课题的 Function Calling 证据。</w:t>
      </w:r>
    </w:p>
    <w:p w14:paraId="0A9C58A2">
      <w:pPr>
        <w:ind w:firstLine="420"/>
        <w:jc w:val="both"/>
      </w:pPr>
      <w:r>
        <w:t xml:space="preserve">据此，本文保留三步递进安排：构建单轮工具调用的在策略基线；在固定前缀上诊断尾部质量、决策 token 和梯度偏差，并用短程训练核查行为影响；在相同反馈预算下研究决策感知的稀疏支持集。已有尾部类别与采样修正工作[31][32][34]构成方法基线，本文拟研究的增量集中在任务位置与训练预算的联合选择，实际收益及适用条件待实验验证。</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 xml:space="preserve">本文围绕单轮 Function Calling 的在策略蒸馏建立一条连续的研究链：先获得可信的学生轨迹和工具调用错误记录，再判断 Top-K 稀疏反馈遗漏了哪些训练信号，最后在固定反馈预算内设计并检验针对性的支持集选择规则。完整词表的 Forward KL、Reverse KL 和其他散度仅作为受控参照，K 的选择服务于同一个尾部监督问题。第 3.2、3.3 和 3.4 节分别说明实验场景、问题诊断和拟研究的改进方案。</w:t>
      </w:r>
    </w:p>
    <w:p w14:paraId="264D2FA9">
      <w:pPr>
        <w:pStyle w:val="17"/>
        <w:ind w:firstLine="420"/>
        <w:jc w:val="both"/>
      </w:pPr>
      <w:r>
        <w:t xml:space="preserve">1. 场景与基线：学生自主生成的工具调用轨迹中，哪些位置决定函数选择、参数填写和结构正确性？如何保证教师在相同前缀上的反馈可用于训练与评估？</w:t>
      </w:r>
    </w:p>
    <w:p w14:paraId="1E031E97">
      <w:pPr>
        <w:pStyle w:val="17"/>
        <w:ind w:firstLine="420"/>
        <w:jc w:val="both"/>
      </w:pPr>
      <w:r>
        <w:t xml:space="preserve">2. 尾部信号诊断：Top-K 截断及子集归一化在这些位置遗漏了多少尾部概率质量、哪些学生高估的决策 token，以及怎样的损失和梯度变化？这些变化能否解释具体工具调用错误？</w:t>
      </w:r>
    </w:p>
    <w:p w14:paraId="2D6DF87B">
      <w:pPr>
        <w:pStyle w:val="17"/>
        <w:ind w:firstLine="420"/>
        <w:jc w:val="both"/>
      </w:pPr>
      <w:r>
        <w:t xml:space="preserve">3. 改进方案验证：在相同教师反馈预算下，能否依据尾部风险分配支持集，并保留必要的决策 token 与尾部总质量，使训练信号更接近完整词表目标？</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 xml:space="preserve">已有在策略蒸馏方法在学生生成的前缀上查询教师，能够直接覆盖推理时会遇到的状态[7][11]。本文以单轮 Function Calling 为统一场景：学生按固定采样协议生成输出，冻结教师在相同前缀上计算条件分布，训练掩码仅覆盖有效 assistant 位置。首先复现可运行的完整词表与固定 Top-K 基线，固定模型、数据、LoRA 配置、更新步数和评测脚本。函数名、参数键、参数值及结构标记由解析规则和工具 schema 标注；解析失败的位置单独记录。</w:t>
      </w:r>
    </w:p>
    <w:p w14:paraId="7FDDC4C9">
      <w:pPr>
        <w:ind w:firstLine="420"/>
        <w:jc w:val="both"/>
      </w:pPr>
      <w:r>
        <w:t xml:space="preserve">工具调用的错误具有位置差异。函数入口或函数名的一个错误可能使后续参数全部失效，普通参数值 token 的偏差通常局限于局部字段。本文记录各类位置的教师熵、学生与教师的支持集重叠、工具调用是否成功，以及错误在生成序列中的首次可确定位置。对无法可靠定位的语义错误，只保留整条调用的结果标签。状态划分为后续尾部分析提供可检验的条件变量。</w:t>
      </w:r>
    </w:p>
    <w:p w14:paraId="7FDDC4CA">
      <w:pPr>
        <w:ind w:firstLine="420"/>
        <w:jc w:val="both"/>
      </w:pPr>
      <w:r>
        <w:t xml:space="preserve">基线阶段按相同有效 token 预算比较学生轨迹监督与既有参考轨迹监督，并给出函数选择准确率、参数匹配率、可解析率和端到端成功率。两组训练共享采样种子和评测集合；学生轨迹是否更有价值由真实结果判断。这个阶段同时确认教师与学生使用一致的 tokenizer、特殊 token 和工具调用模板，以免把协议差异误记为截断效应。</w:t>
      </w:r>
    </w:p>
    <w:p w14:paraId="1514E400">
      <w:pPr>
        <w:pStyle w:val="3"/>
      </w:pPr>
      <w:bookmarkStart w:id="19" w:name="_Toc712366958"/>
      <w:r>
        <w:rPr>
          <w:rFonts w:ascii="黑体" w:hAnsi="黑体" w:eastAsia="黑体" w:cs="黑体"/>
          <w:b/>
          <w:color w:val="000000"/>
          <w:sz w:val="24"/>
        </w:rPr>
        <w:t>3.3 稀疏监督下的散度目标与尾部质量</w:t>
      </w:r>
      <w:bookmarkEnd w:id="19"/>
    </w:p>
    <w:p w14:paraId="6EF7E413">
      <w:pPr>
        <w:ind w:firstLine="420"/>
        <w:jc w:val="both"/>
      </w:pPr>
      <w:r>
        <w:t xml:space="preserve">Top-K 用少量教师概率替代完整词表反馈，降低存储与传输开销。已有稀疏蒸馏研究指出，截断后的概率估计可能带来偏差[30]；在策略蒸馏研究进一步发现，师生在教师 Top-K 内各自归一化时，目标丢失了支持集外的总质量，学生尾部概率及熵可能在训练中上升[31]。另一项工具调用研究显示，即使教师 Top-K 覆盖了几乎全部教师概率，仍可能漏掉学生过度偏好的工具调用入口 token，使关键决策的修正梯度缺失[33]。这些结果来自不同模型与任务，本文将在单教师、单轮 Function Calling 场景检查其适用范围。</w:t>
      </w:r>
    </w:p>
    <w:p w14:paraId="7FDDC4CB">
      <w:pPr>
        <w:ind w:firstLine="420"/>
        <w:jc w:val="both"/>
      </w:pPr>
      <w:r>
        <w:t xml:space="preserve">本文把尾部问题分成两类观察。第一类是总量偏差：在教师 Top-K 支持集外，比较师生尾部质量及其随训练步数的变化，并在同一前缀上对照完整词表、子集归一化 Top-K 和已有的尾部类别方法[31]。第二类是决策遗漏：检查函数入口、函数名及结构标记等关键 token 是否落在教师 Top-K 之外，计算其完整词表梯度与稀疏目标梯度的方向和幅度差异。教师质量覆盖率、决策 token 覆盖率和梯度一致性分别报告，避免用单一累计概率解释训练行为。</w:t>
      </w:r>
    </w:p>
    <w:p w14:paraId="7FDDC4CC">
      <w:pPr>
        <w:ind w:firstLine="420"/>
        <w:jc w:val="both"/>
      </w:pPr>
      <w:r>
        <w:t xml:space="preserve">诊断先在冻结模型和固定学生前缀上完成，再做短程训练验证。冻结诊断记录不同 K 和位置类别的尾部质量、目标差、梯度余弦相似度与关键 token 梯度；短程训练追踪尾部概率、熵、结构错误和工具调用成败。若冻结梯度差异存在而任务指标不变，需进一步检查训练步数与错误类型；若差异主要来自模板或教师不确定性，应先修正协议或缩小研究范围。Forward KL 与 Reverse KL 只在共同支持集和相同轨迹上做对照，不能把散度方向与截断方式同时改变后解释为单一因素。</w:t>
      </w:r>
    </w:p>
    <w:p w14:paraId="7F13BEDA">
      <w:pPr>
        <w:pStyle w:val="3"/>
      </w:pPr>
      <w:bookmarkStart w:id="20" w:name="_Toc530131081"/>
      <w:r>
        <w:rPr>
          <w:rFonts w:ascii="黑体" w:hAnsi="黑体" w:eastAsia="黑体" w:cs="黑体"/>
          <w:b/>
          <w:color w:val="000000"/>
          <w:sz w:val="24"/>
        </w:rPr>
        <w:t>3.4 监督粒度选择与资源效率</w:t>
      </w:r>
      <w:bookmarkEnd w:id="20"/>
    </w:p>
    <w:p w14:paraId="7DA378CA">
      <w:pPr>
        <w:ind w:firstLine="420"/>
        <w:jc w:val="both"/>
      </w:pPr>
      <w:r>
        <w:t xml:space="preserve">已有 TA-OPD 把支持集外概率并为尾部类别，TT-OPD 与 ResOPD 则利用采样残差修正稀疏估计[31][32][34]；因此，单独增加第 K+1 类不能作为本文的新方法。本文拟研究工具调用位置的预算分配：在固定平均反馈条目数下，对函数入口、函数名和结构边界等位置提高决策 token 的覆盖要求，对其余位置依教师尾部质量选择较小支持集。该设计把第 3.3 节测得的尾部风险转化为可执行的支持集规则。</w:t>
      </w:r>
    </w:p>
    <w:p w14:paraId="7FDDC4CD">
      <w:pPr>
        <w:ind w:firstLine="420"/>
        <w:jc w:val="both"/>
      </w:pPr>
      <w:r>
        <w:t xml:space="preserve">具体地，先在训练集的独立诊断子集上估计各位置类别的尾部质量差、决策 token 漏选率和完整词表梯度误差；据此确定位置权重与反馈预算。训练时从教师候选中选取满足累计质量阈值的最小 K，并在预设上限内补入可确定的工具调用决策 token；剩余概率沿用已有尾部类别目标表示[31]。若所需 token 不在教师返回的候选中，需要追加该 token 的教师 logprob 查询，并将这部分查询成本计入预算。位置权重、阈值和 K 上限仅在训练/验证集确定，测试集只用于最终评估。</w:t>
      </w:r>
    </w:p>
    <w:p w14:paraId="7FDDC4CE">
      <w:pPr>
        <w:ind w:firstLine="420"/>
        <w:jc w:val="both"/>
      </w:pPr>
      <w:r>
        <w:t xml:space="preserve">验证包括固定 K、相同平均 K 的质量阈值 K、已有尾部类别方法，以及拟研究的决策感知支持集规则。各方法使用同一学生起点、教师、轨迹采样设置与有效 token 预算，并分别报告反馈字节数、额外教师查询、训练耗时和峰值显存。消融实验单独移除决策 token 补入、位置预算分配和尾部类别，检验每一部分的实际贡献；同时观察函数误选、参数错误、格式错误和端到端成功率。若预算匹配后改进消失，本文将如实报告适用边界，并据诊断结果调整方案。</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 xml:space="preserve">图 1 给出研究链条：以单轮工具调用建立学生轨迹和可执行评测，随后区分 Top-K 的尾部总量丢失与决策 token 漏选，最后检验预算受限的决策感知支持集。三阶段共享模型、数据划分和评价协议；散度方向是机制参照，监督粒度是方法设计中的预算变量。尾部类别、采样残差和学生感知支持集均已有相关工作[31][32][33][34]，本文的研究重点是分析它们在本任务上的适用性，并验证有无必要结合位置风险进行资源分配。</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w:t>
      </w:r>
      <w:r>
        <w:rPr>
          <w:rFonts w:hint="eastAsia"/>
          <w:sz w:val="21"/>
          <w:lang w:val="en-US" w:eastAsia="zh-CN"/>
        </w:rPr>
        <w:t>结构关系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本文以学生在单轮 Function Calling 中真实访问的状态为起点，将教师反馈、目标构造和参数更新连接为同一训练流程。学生生成调用轨迹后，系统根据消息边界与工具结构标记有效状态；冻结教师在这些学生前缀上输出条件概率。基线实验分别使用完整分布、常规 Top-K 和单样本估计，拟研究的方法则在 Top-K 支持集外保留一个残余概率类别，并根据教师概率质量选择反馈粒度。这样，状态来源、目标定义和信息预算可以逐层分析，而不是作为九种组合的简单罗列。</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上式中的统一估计项在完整词表方案下为完整散度，在常规 Top-K 方案下为支持集内重归一化目标，在 K1 方案下为后文定义的单样本估计。本文另拟构建保留尾部总质量的 Top-K 目标，作为对常规截断方案的定点改进；其中支持集由教师确定，师生均在相同支持集及同一个残余类别上计算概率。训练更新只对条件分布损失反向传播，学生离散采样轨迹仅作为状态序列，不对采样操作求梯度。学生仍只在 LoRA 参数子空间更新，因此总体优化问题可写为：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统一目标的作用是让三个研究问题相互衔接：学生轨迹和位置标记确定教师在哪些状态上监督；散度及残余类别构造确定教师概率如何变成训练信号；固定或自适应 K 决定每个状态保留多少显式反馈。总体技术路线如图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给出各环节固定与记录的变量。所有对照组共享输入、生成协议、数据划分和有效位置定义；状态分层实验仅改变同预算下所使用的位置，损失实验则固定轨迹与位置后再切换目标。教师反馈同时记录 Top-K 累计概率、残余质量及所选 K，使后续结果能够区分状态选择、目标定义和反馈粒度的影响。训练、反馈与评测关系见图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散度基线与稀疏反馈目标的定义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为把散度比较与拟研究的方法区分开，表 4-2 将实验安排为四层对照：完整词表散度基线、固定 K 下的常规截断与残余类别目标、固定 K 与自适应 K、以及 K1 低反馈量参照。每层实验只改变一个核心因素，并共享模型、数据、学生轨迹、有效位置和训练预算。</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完整词表散度基线</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学生模型、教师模型、数据、rollout、训练预算、评价协议</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Forward KL、Reverse KL、广义散度</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分布覆盖、模式集中、训练稳定性、任务指标</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确定散度偏好基线</w:t>
            </w:r>
          </w:p>
        </w:tc>
      </w:tr>
      <w:tr w14:paraId="17480239">
        <w:trPr>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固定 K 的目标对照</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学生模型、教师模型、数据、支持集来源、K、训练预算</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常规重归一化 Top-K vs 残余类别 Top-K</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尾部概率质量、损失与梯度、任务指标</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识别截断目标的尾部信息作用</w:t>
            </w:r>
          </w:p>
        </w:tc>
      </w:tr>
      <w:tr w14:paraId="5DED9877">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固定目标的反馈粒度</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学生模型、教师模型、数据、目标定义、有效 token、训练预算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固定 K vs 自适应 K</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所选 K、残余质量、训练时间、显存、任务指标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检验反馈预算下的适用边界</w:t>
            </w:r>
          </w:p>
        </w:tc>
      </w:tr>
      <w:tr w14:paraId="7FDDC4CF">
        <w:trPr>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K1 低反馈量边界基线</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学生模型、教师模型、数据、采样分布、训练预算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K1 sampled-token（与选定 Top-K 目标对照）</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估计方差、异常 loss、反馈字节数、任务指标</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刻画极低反馈量与单样本估计风险</w:t>
            </w:r>
          </w:p>
        </w:tc>
      </w:tr>
    </w:tbl>
    <w:p w14:paraId="26F667FD">
      <w:pPr>
        <w:ind w:firstLine="420"/>
        <w:jc w:val="both"/>
      </w:pPr>
      <w:r>
        <w:t>散度方向与监督粒度不再被安排为全部组合的穷举矩阵。表 4-2 将实验分为三层：完整词表散度基线用于观察优化偏好；固定 K 下比较常规截断与保留残余质量的目标，用于识别尾部信息的作用；在选定目标上比较固定 K、自适应 K 与 K1，以判断反馈预算和估计波动的影响。各层均固定其余变量。</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 xml:space="preserve">常规截断基线在选定支持集内分别归一化师生概率，如式（4-18）所示。已有 TA-OPD 在教师 Top-K 之外引入尾部类别，保留师生各自的尾部总质量[31]。本文将该目标作为可复现的对照，记录尾部质量和关键决策 token 的梯度；后续拟研究的位置感知支持集只改变候选集合与预算分配。尾部类别无法恢复尾部 token 之间的相对关系，其作用与决策 token 补入须分开检验。</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 xml:space="preserve">为控制估计方差，提议分布须覆盖被估计分布的支持集，并记录其定义、随机种子和概率下界。本文先用冻结前缀诊断确定各类位置的截断风险，再在最大支持集大小内选择满足累计教师质量阈值的最小 K；对预先定义的工具调用决策 token 检查漏选，必要时补入并计入反馈成本。阈值和位置权重在验证集确定，并与相同平均反馈预算的固定 K、已有尾部类别方法比较。所有目标统一使用 log-sum-exp、有效位置归一化和有限值检查；反馈量、教师前向计算与额外 logprob 查询分别计量。</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本文从任务正确性、训练稳定性和资源成本三个层面评价方法，具体指标及其作用见表 4-3。</w:t>
      </w:r>
    </w:p>
    <w:p w14:paraId="245845D3">
      <w:pPr>
        <w:ind w:firstLine="420"/>
        <w:jc w:val="both"/>
      </w:pPr>
      <w:bookmarkStart w:id="76" w:name="_GoBack"/>
      <w:bookmarkEnd w:id="76"/>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熵与支持集重叠用于观察师生概率分布是否接近；针对本研究方法，还将记录教师 Top-K 外的总概率质量、学生对应质量及二者差异，并按函数、参数和结构位置分层分析。与异常损失、梯度范数和格式错误率结合后，可判断差异来自状态选择、截断目标还是监督粒度，避免只凭最终准确率解释机制。</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方案采用可获得的小规模同家族模型与开源工具链。冻结教师只参与前向评分，学生通过 LoRA 更新；PyTorch、Transformers、PEFT 和 vLLM[20]分别用于训练、适配与部署测量。正式实验前先以少量单轮样本检查 tokenizer、模板、状态标记、Top-K 累计质量、残余类别的概率归一化、目标数值、梯度传播和运行成本。只有这些基础检查通过，且尾部质量在实际样本中具有分析价值，才扩大训练规模；若现象不明显，则根据错误统计收缩方法范围并调整研究重点。</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1. 建立以 Qwen3-0.6B 为学生、冻结的 Qwen3-4B 为教师的单轮 Function Calling 在线策略蒸馏流程，并完成状态边界、有效位置和分层错误记录。</w:t>
      </w:r>
    </w:p>
    <w:p w14:paraId="661280AE">
      <w:pPr>
        <w:pStyle w:val="17"/>
        <w:ind w:firstLine="420"/>
        <w:jc w:val="both"/>
      </w:pPr>
      <w:r>
        <w:t>2. 在统一轨迹与训练预算下完成完整分布散度基线，以及常规 Top-K 与保留尾部质量的 Top-K 目标对比；检验目标差异是否具有可重复的任务或稳定性影响。</w:t>
      </w:r>
    </w:p>
    <w:p w14:paraId="4D24F9B5">
      <w:pPr>
        <w:pStyle w:val="17"/>
        <w:ind w:firstLine="420"/>
        <w:jc w:val="both"/>
      </w:pPr>
      <w:r>
        <w:t>3. 建立固定 K、按累计概率质量选择 K 与 K1 的反馈粒度对照，并按照数据集实际条件分层评价格式、函数选择、参数生成和可验证的工具调用结果。</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预期形成一套可复现的单轮工具调用 OPD 流程、一种待实验检验的尾部质量保留目标及其监督粒度选择策略，并提供完整的基线、消融、成本统计和失败案例。最终论文将以实际结果判断方法是否有效；即使未取得性能优势，也需明确其原因和适用条件。</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实施时先审计数据、模型、tokenizer 和消息模板，再用少量单轮样本检查状态标记、支持集累计质量、残余概率、损失数值与梯度。训练资源通过短序列验证、小批量训练、梯度累积和必要的教师反馈缓存控制。完整分布、常规 Top-K、残余类别 Top-K 与 K1 应共享输入、mask、评测规则和记录格式，并保存异常 loss、非法结构及失败调用以便追溯。</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方法风险主要有两类：若教师分布在大多数有效位置过于集中，Top-K 外的概率质量可能很小，残余类别难以产生可测差异；若概率质量分散，自适应 K 可能频繁达到上限，未必节省反馈开销。研究先在小样本上统计这些分布，再以相同 K 或相同反馈预算做消融；若候选方法不优于简洁基线，应如实报告并据错误类型缩小改进范围。支持集并集与极端概率比裁剪仅作为后续备选，不与主方法同时改变。</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 xml:space="preserve">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 xml:space="preserve">Huang H, Wei H. Tail-Aware Top-k On-Policy Distillation[EB/OL]. arXiv:2608.14728, 2026.</w:t>
      </w:r>
    </w:p>
    <w:p w14:paraId="A30B0003">
      <w:pPr>
        <w:pStyle w:val="17"/>
        <w:numPr>
          <w:ilvl w:val="0"/>
          <w:numId w:val="1"/>
        </w:numPr>
        <w:ind w:firstLine="420"/>
        <w:jc w:val="both"/>
      </w:pPr>
      <w:r>
        <w:t xml:space="preserve">Meng L, Gan S, Li Y, et al. Unbiased Top-k Estimation for On-Policy Distillation[EB/OL]. arXiv:2609.34447, 2026.</w:t>
      </w:r>
    </w:p>
    <w:p w14:paraId="A30B0004">
      <w:pPr>
        <w:pStyle w:val="17"/>
        <w:numPr>
          <w:ilvl w:val="0"/>
          <w:numId w:val="1"/>
        </w:numPr>
        <w:ind w:firstLine="420"/>
        <w:jc w:val="both"/>
      </w:pPr>
      <w:r>
        <w:t xml:space="preserve">Shen J, Chen G, Mao C. When Top-K Misses the Decision: Tool-Call Drift in Multi-Teacher On-Policy Distillation[EB/OL]. arXiv:2607.07050, 2026.</w:t>
      </w:r>
    </w:p>
    <w:p w14:paraId="A30B0005">
      <w:pPr>
        <w:pStyle w:val="17"/>
        <w:numPr>
          <w:ilvl w:val="0"/>
          <w:numId w:val="1"/>
        </w:numPr>
        <w:ind w:firstLine="420"/>
        <w:jc w:val="both"/>
      </w:pPr>
      <w:r>
        <w:t xml:space="preserve">Yang P, Xing L, Dai X, et al. ResOPD: Tail Residualization for Sparse On-Policy Distillation[EB/OL]. arXiv:2610.04882, 2026.</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6"/>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14962</Words>
  <Characters>21926</Characters>
  <Lines>34</Lines>
  <Paragraphs>9</Paragraphs>
  <TotalTime>10</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2022-10-17T02:38:00Z</dcterms:created>
  <dc:creator>董 睿璞</dc:creator>
  <cp:lastModifiedBy>Dr.Oppenheimer</cp:lastModifiedBy>
  <dcterms:modified xsi:type="dcterms:W3CDTF">2026-09-27T11:43:03Z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